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widowControl/>
        <w:kinsoku/>
        <w:wordWrap/>
        <w:overflowPunct/>
        <w:topLinePunct w:val="0"/>
        <w:autoSpaceDE/>
        <w:autoSpaceDN/>
        <w:bidi w:val="0"/>
        <w:spacing w:after="0" w:line="460" w:lineRule="exact"/>
        <w:textAlignment w:val="auto"/>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t>附件：</w:t>
      </w:r>
    </w:p>
    <w:p>
      <w:pPr>
        <w:keepNext w:val="0"/>
        <w:keepLines w:val="0"/>
        <w:pageBreakBefore w:val="0"/>
        <w:widowControl/>
        <w:kinsoku/>
        <w:wordWrap/>
        <w:overflowPunct/>
        <w:topLinePunct w:val="0"/>
        <w:autoSpaceDE/>
        <w:autoSpaceDN/>
        <w:bidi w:val="0"/>
        <w:adjustRightInd w:val="0"/>
        <w:snapToGrid w:val="0"/>
        <w:spacing w:after="0" w:line="460" w:lineRule="exact"/>
        <w:jc w:val="center"/>
        <w:textAlignment w:val="auto"/>
        <w:rPr>
          <w:rFonts w:hint="eastAsia" w:ascii="方正小标宋简体" w:hAnsi="方正小标宋简体" w:eastAsia="方正小标宋简体" w:cs="方正小标宋简体"/>
          <w:b w:val="0"/>
          <w:bCs/>
          <w:sz w:val="36"/>
          <w:szCs w:val="36"/>
          <w:highlight w:val="none"/>
          <w:lang w:eastAsia="zh-CN"/>
        </w:rPr>
      </w:pPr>
      <w:r>
        <w:rPr>
          <w:rFonts w:hint="eastAsia" w:ascii="方正小标宋简体" w:hAnsi="方正小标宋简体" w:eastAsia="方正小标宋简体" w:cs="方正小标宋简体"/>
          <w:b w:val="0"/>
          <w:bCs/>
          <w:sz w:val="36"/>
          <w:szCs w:val="36"/>
          <w:highlight w:val="none"/>
          <w:lang w:eastAsia="zh-CN"/>
        </w:rPr>
        <w:t>海狸鼠专项监测项目的采购需求</w:t>
      </w:r>
    </w:p>
    <w:p>
      <w:pPr>
        <w:pStyle w:val="4"/>
        <w:keepNext/>
        <w:keepLines/>
        <w:pageBreakBefore w:val="0"/>
        <w:widowControl/>
        <w:kinsoku/>
        <w:wordWrap/>
        <w:overflowPunct/>
        <w:topLinePunct w:val="0"/>
        <w:autoSpaceDE/>
        <w:autoSpaceDN/>
        <w:bidi w:val="0"/>
        <w:adjustRightInd/>
        <w:snapToGrid/>
        <w:spacing w:before="0"/>
        <w:textAlignment w:val="auto"/>
        <w:rPr>
          <w:lang w:eastAsia="zh-CN"/>
        </w:rPr>
      </w:pPr>
    </w:p>
    <w:p>
      <w:pPr>
        <w:pStyle w:val="3"/>
        <w:pageBreakBefore w:val="0"/>
        <w:widowControl/>
        <w:kinsoku/>
        <w:wordWrap/>
        <w:overflowPunct/>
        <w:topLinePunct w:val="0"/>
        <w:autoSpaceDE/>
        <w:autoSpaceDN/>
        <w:bidi w:val="0"/>
        <w:spacing w:before="0" w:after="0" w:line="460" w:lineRule="exact"/>
        <w:ind w:firstLine="560" w:firstLineChars="200"/>
        <w:textAlignment w:val="auto"/>
        <w:rPr>
          <w:rFonts w:ascii="黑体" w:hAnsi="黑体" w:eastAsia="黑体"/>
          <w:b w:val="0"/>
          <w:bCs w:val="0"/>
          <w:sz w:val="28"/>
          <w:szCs w:val="28"/>
          <w:lang w:eastAsia="zh-CN"/>
        </w:rPr>
      </w:pPr>
      <w:bookmarkStart w:id="0" w:name="_Toc239067537"/>
      <w:r>
        <w:rPr>
          <w:rFonts w:hint="eastAsia" w:ascii="黑体" w:hAnsi="黑体" w:eastAsia="黑体"/>
          <w:b w:val="0"/>
          <w:bCs w:val="0"/>
          <w:sz w:val="28"/>
          <w:szCs w:val="28"/>
          <w:lang w:val="en-US" w:eastAsia="zh-CN"/>
        </w:rPr>
        <w:t>一</w:t>
      </w:r>
      <w:r>
        <w:rPr>
          <w:rFonts w:ascii="黑体" w:hAnsi="黑体" w:eastAsia="黑体"/>
          <w:b w:val="0"/>
          <w:bCs w:val="0"/>
          <w:sz w:val="28"/>
          <w:szCs w:val="28"/>
          <w:lang w:eastAsia="zh-CN"/>
        </w:rPr>
        <w:t>、采购需求</w:t>
      </w:r>
      <w:bookmarkEnd w:id="0"/>
    </w:p>
    <w:p>
      <w:pPr>
        <w:pStyle w:val="4"/>
        <w:pageBreakBefore w:val="0"/>
        <w:widowControl/>
        <w:kinsoku/>
        <w:wordWrap/>
        <w:overflowPunct/>
        <w:topLinePunct w:val="0"/>
        <w:autoSpaceDE/>
        <w:autoSpaceDN/>
        <w:bidi w:val="0"/>
        <w:spacing w:before="0" w:after="0" w:line="460" w:lineRule="exact"/>
        <w:ind w:firstLine="560" w:firstLineChars="200"/>
        <w:textAlignment w:val="auto"/>
        <w:rPr>
          <w:rFonts w:hint="eastAsia" w:ascii="楷体_GB2312" w:hAnsi="楷体_GB2312" w:eastAsia="楷体_GB2312" w:cs="楷体_GB2312"/>
          <w:b w:val="0"/>
          <w:bCs w:val="0"/>
          <w:sz w:val="28"/>
          <w:szCs w:val="28"/>
          <w:lang w:eastAsia="zh-CN"/>
        </w:rPr>
      </w:pPr>
      <w:bookmarkStart w:id="1" w:name="_Toc239067538"/>
      <w:r>
        <w:rPr>
          <w:rFonts w:hint="eastAsia" w:ascii="楷体_GB2312" w:hAnsi="楷体_GB2312" w:eastAsia="楷体_GB2312" w:cs="楷体_GB2312"/>
          <w:b w:val="0"/>
          <w:bCs w:val="0"/>
          <w:sz w:val="28"/>
          <w:szCs w:val="28"/>
          <w:lang w:eastAsia="zh-CN"/>
        </w:rPr>
        <w:t>（一）调查目标</w:t>
      </w:r>
      <w:bookmarkEnd w:id="1"/>
    </w:p>
    <w:p>
      <w:pPr>
        <w:pageBreakBefore w:val="0"/>
        <w:widowControl/>
        <w:kinsoku/>
        <w:wordWrap/>
        <w:overflowPunct/>
        <w:topLinePunct w:val="0"/>
        <w:autoSpaceDE/>
        <w:autoSpaceDN/>
        <w:bidi w:val="0"/>
        <w:spacing w:after="0" w:line="460" w:lineRule="exact"/>
        <w:ind w:firstLine="560" w:firstLineChars="200"/>
        <w:textAlignment w:val="auto"/>
        <w:rPr>
          <w:rFonts w:hint="eastAsia" w:ascii="仿宋_GB2312" w:hAnsi="仿宋_GB2312" w:eastAsia="仿宋_GB2312" w:cs="仿宋_GB2312"/>
          <w:b w:val="0"/>
          <w:bCs w:val="0"/>
          <w:sz w:val="28"/>
          <w:szCs w:val="28"/>
          <w:lang w:eastAsia="zh-CN"/>
        </w:rPr>
      </w:pPr>
      <w:r>
        <w:rPr>
          <w:rFonts w:hint="eastAsia" w:ascii="仿宋_GB2312" w:hAnsi="仿宋_GB2312" w:eastAsia="仿宋_GB2312" w:cs="仿宋_GB2312"/>
          <w:b w:val="0"/>
          <w:bCs w:val="0"/>
          <w:sz w:val="28"/>
          <w:szCs w:val="28"/>
          <w:lang w:eastAsia="zh-CN"/>
        </w:rPr>
        <w:t>1.明确松江区海狸鼠的空间分布范围，标定叶榭镇兴达村、泖港镇焦家村核心区及扩散边界；</w:t>
      </w:r>
    </w:p>
    <w:p>
      <w:pPr>
        <w:pageBreakBefore w:val="0"/>
        <w:widowControl/>
        <w:kinsoku/>
        <w:wordWrap/>
        <w:overflowPunct/>
        <w:topLinePunct w:val="0"/>
        <w:autoSpaceDE/>
        <w:autoSpaceDN/>
        <w:bidi w:val="0"/>
        <w:spacing w:after="0" w:line="460" w:lineRule="exact"/>
        <w:ind w:firstLine="560" w:firstLineChars="200"/>
        <w:textAlignment w:val="auto"/>
        <w:rPr>
          <w:rFonts w:hint="eastAsia" w:ascii="仿宋_GB2312" w:hAnsi="仿宋_GB2312" w:eastAsia="仿宋_GB2312" w:cs="仿宋_GB2312"/>
          <w:b w:val="0"/>
          <w:bCs w:val="0"/>
          <w:sz w:val="28"/>
          <w:szCs w:val="28"/>
          <w:lang w:eastAsia="zh-CN"/>
        </w:rPr>
      </w:pPr>
      <w:r>
        <w:rPr>
          <w:rFonts w:hint="eastAsia" w:ascii="仿宋_GB2312" w:hAnsi="仿宋_GB2312" w:eastAsia="仿宋_GB2312" w:cs="仿宋_GB2312"/>
          <w:b w:val="0"/>
          <w:bCs w:val="0"/>
          <w:sz w:val="28"/>
          <w:szCs w:val="28"/>
          <w:lang w:eastAsia="zh-CN"/>
        </w:rPr>
        <w:t>2.量化核心区的种群密度、年龄结构和繁殖强度；</w:t>
      </w:r>
    </w:p>
    <w:p>
      <w:pPr>
        <w:pageBreakBefore w:val="0"/>
        <w:widowControl/>
        <w:kinsoku/>
        <w:wordWrap/>
        <w:overflowPunct/>
        <w:topLinePunct w:val="0"/>
        <w:autoSpaceDE/>
        <w:autoSpaceDN/>
        <w:bidi w:val="0"/>
        <w:spacing w:after="0" w:line="460" w:lineRule="exact"/>
        <w:ind w:firstLine="560" w:firstLineChars="200"/>
        <w:textAlignment w:val="auto"/>
        <w:rPr>
          <w:rFonts w:hint="eastAsia" w:ascii="仿宋_GB2312" w:hAnsi="仿宋_GB2312" w:eastAsia="仿宋_GB2312" w:cs="仿宋_GB2312"/>
          <w:b w:val="0"/>
          <w:bCs w:val="0"/>
          <w:sz w:val="28"/>
          <w:szCs w:val="28"/>
          <w:lang w:eastAsia="zh-CN"/>
        </w:rPr>
      </w:pPr>
      <w:r>
        <w:rPr>
          <w:rFonts w:hint="eastAsia" w:ascii="仿宋_GB2312" w:hAnsi="仿宋_GB2312" w:eastAsia="仿宋_GB2312" w:cs="仿宋_GB2312"/>
          <w:b w:val="0"/>
          <w:bCs w:val="0"/>
          <w:sz w:val="28"/>
          <w:szCs w:val="28"/>
          <w:lang w:eastAsia="zh-CN"/>
        </w:rPr>
        <w:t>3.掌握日、月、季活动规律，建立活动节律模型；</w:t>
      </w:r>
    </w:p>
    <w:p>
      <w:pPr>
        <w:pStyle w:val="4"/>
        <w:pageBreakBefore w:val="0"/>
        <w:widowControl/>
        <w:kinsoku/>
        <w:wordWrap/>
        <w:overflowPunct/>
        <w:topLinePunct w:val="0"/>
        <w:autoSpaceDE/>
        <w:autoSpaceDN/>
        <w:bidi w:val="0"/>
        <w:spacing w:before="0" w:after="0" w:line="460" w:lineRule="exact"/>
        <w:ind w:firstLine="560" w:firstLineChars="200"/>
        <w:textAlignment w:val="auto"/>
        <w:rPr>
          <w:rFonts w:hint="eastAsia" w:ascii="楷体_GB2312" w:hAnsi="楷体_GB2312" w:eastAsia="楷体_GB2312" w:cs="楷体_GB2312"/>
          <w:b w:val="0"/>
          <w:bCs w:val="0"/>
          <w:sz w:val="28"/>
          <w:szCs w:val="28"/>
          <w:lang w:eastAsia="zh-CN"/>
        </w:rPr>
      </w:pPr>
      <w:bookmarkStart w:id="2" w:name="_Toc239067539"/>
      <w:r>
        <w:rPr>
          <w:rFonts w:hint="eastAsia" w:ascii="楷体_GB2312" w:hAnsi="楷体_GB2312" w:eastAsia="楷体_GB2312" w:cs="楷体_GB2312"/>
          <w:b w:val="0"/>
          <w:bCs w:val="0"/>
          <w:sz w:val="28"/>
          <w:szCs w:val="28"/>
          <w:lang w:eastAsia="zh-CN"/>
        </w:rPr>
        <w:t>（二）调查范围与点位布设</w:t>
      </w:r>
      <w:bookmarkEnd w:id="2"/>
    </w:p>
    <w:p>
      <w:pPr>
        <w:pageBreakBefore w:val="0"/>
        <w:widowControl/>
        <w:kinsoku/>
        <w:wordWrap/>
        <w:overflowPunct/>
        <w:topLinePunct w:val="0"/>
        <w:autoSpaceDE/>
        <w:autoSpaceDN/>
        <w:bidi w:val="0"/>
        <w:spacing w:after="0" w:line="460" w:lineRule="exact"/>
        <w:ind w:firstLine="560" w:firstLineChars="200"/>
        <w:textAlignment w:val="auto"/>
        <w:rPr>
          <w:rFonts w:hint="eastAsia" w:ascii="仿宋_GB2312" w:hAnsi="仿宋_GB2312" w:eastAsia="仿宋_GB2312" w:cs="仿宋_GB2312"/>
          <w:b w:val="0"/>
          <w:bCs w:val="0"/>
          <w:sz w:val="28"/>
          <w:szCs w:val="28"/>
          <w:lang w:eastAsia="zh-CN"/>
        </w:rPr>
      </w:pPr>
      <w:r>
        <w:rPr>
          <w:rFonts w:hint="eastAsia" w:ascii="仿宋_GB2312" w:hAnsi="仿宋_GB2312" w:eastAsia="仿宋_GB2312" w:cs="仿宋_GB2312"/>
          <w:b w:val="0"/>
          <w:bCs w:val="0"/>
          <w:sz w:val="28"/>
          <w:szCs w:val="28"/>
          <w:lang w:eastAsia="zh-CN"/>
        </w:rPr>
        <w:t>1.调查区域聚焦海狸鼠活动记录集中、野外种群相对稳定的两个重点区域，即叶榭镇兴达村和泖港镇焦家村，共设置10个调查点位。</w:t>
      </w:r>
    </w:p>
    <w:p>
      <w:pPr>
        <w:pageBreakBefore w:val="0"/>
        <w:widowControl/>
        <w:kinsoku/>
        <w:wordWrap/>
        <w:overflowPunct/>
        <w:topLinePunct w:val="0"/>
        <w:autoSpaceDE/>
        <w:autoSpaceDN/>
        <w:bidi w:val="0"/>
        <w:spacing w:after="0" w:line="460" w:lineRule="exact"/>
        <w:ind w:firstLine="560" w:firstLineChars="200"/>
        <w:textAlignment w:val="auto"/>
        <w:rPr>
          <w:rFonts w:hint="eastAsia" w:ascii="仿宋_GB2312" w:hAnsi="仿宋_GB2312" w:eastAsia="仿宋_GB2312" w:cs="仿宋_GB2312"/>
          <w:b w:val="0"/>
          <w:bCs w:val="0"/>
          <w:sz w:val="28"/>
          <w:szCs w:val="28"/>
          <w:lang w:eastAsia="zh-CN"/>
        </w:rPr>
      </w:pPr>
      <w:r>
        <w:rPr>
          <w:rFonts w:hint="eastAsia" w:ascii="仿宋_GB2312" w:hAnsi="仿宋_GB2312" w:eastAsia="仿宋_GB2312" w:cs="仿宋_GB2312"/>
          <w:b w:val="0"/>
          <w:bCs w:val="0"/>
          <w:sz w:val="28"/>
          <w:szCs w:val="28"/>
          <w:lang w:eastAsia="zh-CN"/>
        </w:rPr>
        <w:t>2.叶榭镇兴达村调查区域重点覆盖村域内主要河道、田间沟渠、荷塘、稻田及近水农田边缘等生境；泖港镇焦家村调查区域重点覆盖横潋泾沿岸、泖田湿地周边、水源涵养林、池塘及农田交错区域。</w:t>
      </w:r>
    </w:p>
    <w:p>
      <w:pPr>
        <w:pageBreakBefore w:val="0"/>
        <w:widowControl/>
        <w:kinsoku/>
        <w:wordWrap/>
        <w:overflowPunct/>
        <w:topLinePunct w:val="0"/>
        <w:autoSpaceDE/>
        <w:autoSpaceDN/>
        <w:bidi w:val="0"/>
        <w:spacing w:after="0" w:line="460" w:lineRule="exact"/>
        <w:ind w:firstLine="560" w:firstLineChars="200"/>
        <w:textAlignment w:val="auto"/>
        <w:rPr>
          <w:rFonts w:hint="eastAsia" w:ascii="仿宋_GB2312" w:hAnsi="仿宋_GB2312" w:eastAsia="仿宋_GB2312" w:cs="仿宋_GB2312"/>
          <w:b w:val="0"/>
          <w:bCs w:val="0"/>
          <w:sz w:val="28"/>
          <w:szCs w:val="28"/>
          <w:lang w:eastAsia="zh-CN"/>
        </w:rPr>
      </w:pPr>
      <w:r>
        <w:rPr>
          <w:rFonts w:hint="eastAsia" w:ascii="仿宋_GB2312" w:hAnsi="仿宋_GB2312" w:eastAsia="仿宋_GB2312" w:cs="仿宋_GB2312"/>
          <w:b w:val="0"/>
          <w:bCs w:val="0"/>
          <w:sz w:val="28"/>
          <w:szCs w:val="28"/>
          <w:lang w:eastAsia="zh-CN"/>
        </w:rPr>
        <w:t>3.红外相机布设：两村各布设</w:t>
      </w:r>
      <w:r>
        <w:rPr>
          <w:rFonts w:hint="eastAsia" w:ascii="仿宋_GB2312" w:hAnsi="仿宋_GB2312" w:eastAsia="仿宋_GB2312" w:cs="仿宋_GB2312"/>
          <w:b w:val="0"/>
          <w:bCs w:val="0"/>
          <w:sz w:val="28"/>
          <w:szCs w:val="28"/>
          <w:lang w:val="en-US" w:eastAsia="zh-CN"/>
        </w:rPr>
        <w:t>9</w:t>
      </w:r>
      <w:r>
        <w:rPr>
          <w:rFonts w:hint="eastAsia" w:ascii="仿宋_GB2312" w:hAnsi="仿宋_GB2312" w:eastAsia="仿宋_GB2312" w:cs="仿宋_GB2312"/>
          <w:b w:val="0"/>
          <w:bCs w:val="0"/>
          <w:sz w:val="28"/>
          <w:szCs w:val="28"/>
          <w:lang w:eastAsia="zh-CN"/>
        </w:rPr>
        <w:t>台，</w:t>
      </w:r>
      <w:r>
        <w:rPr>
          <w:rFonts w:hint="eastAsia" w:ascii="仿宋_GB2312" w:hAnsi="仿宋_GB2312" w:eastAsia="仿宋_GB2312" w:cs="仿宋_GB2312"/>
          <w:b w:val="0"/>
          <w:bCs w:val="0"/>
          <w:sz w:val="28"/>
          <w:szCs w:val="28"/>
          <w:highlight w:val="none"/>
          <w:lang w:eastAsia="zh-CN"/>
        </w:rPr>
        <w:t>全区共计</w:t>
      </w:r>
      <w:r>
        <w:rPr>
          <w:rFonts w:hint="eastAsia" w:ascii="仿宋_GB2312" w:hAnsi="仿宋_GB2312" w:eastAsia="仿宋_GB2312" w:cs="仿宋_GB2312"/>
          <w:b w:val="0"/>
          <w:bCs w:val="0"/>
          <w:sz w:val="28"/>
          <w:szCs w:val="28"/>
          <w:highlight w:val="none"/>
          <w:lang w:val="en-US" w:eastAsia="zh-CN"/>
        </w:rPr>
        <w:t>18</w:t>
      </w:r>
      <w:r>
        <w:rPr>
          <w:rFonts w:hint="eastAsia" w:ascii="仿宋_GB2312" w:hAnsi="仿宋_GB2312" w:eastAsia="仿宋_GB2312" w:cs="仿宋_GB2312"/>
          <w:b w:val="0"/>
          <w:bCs w:val="0"/>
          <w:sz w:val="28"/>
          <w:szCs w:val="28"/>
          <w:highlight w:val="none"/>
          <w:lang w:eastAsia="zh-CN"/>
        </w:rPr>
        <w:t>台，统</w:t>
      </w:r>
      <w:r>
        <w:rPr>
          <w:rFonts w:hint="eastAsia" w:ascii="仿宋_GB2312" w:hAnsi="仿宋_GB2312" w:eastAsia="仿宋_GB2312" w:cs="仿宋_GB2312"/>
          <w:b w:val="0"/>
          <w:bCs w:val="0"/>
          <w:sz w:val="28"/>
          <w:szCs w:val="28"/>
          <w:lang w:eastAsia="zh-CN"/>
        </w:rPr>
        <w:t>一编号、GPS定位并建立档案；优先布设于近水源、觅食路径及洞穴集中区域，避开游客通道和主干道路。</w:t>
      </w:r>
    </w:p>
    <w:p>
      <w:pPr>
        <w:pStyle w:val="4"/>
        <w:pageBreakBefore w:val="0"/>
        <w:widowControl/>
        <w:kinsoku/>
        <w:wordWrap/>
        <w:overflowPunct/>
        <w:topLinePunct w:val="0"/>
        <w:autoSpaceDE/>
        <w:autoSpaceDN/>
        <w:bidi w:val="0"/>
        <w:spacing w:before="0" w:after="0" w:line="460" w:lineRule="exact"/>
        <w:ind w:firstLine="560" w:firstLineChars="200"/>
        <w:textAlignment w:val="auto"/>
        <w:rPr>
          <w:rFonts w:hint="eastAsia" w:ascii="楷体_GB2312" w:hAnsi="楷体_GB2312" w:eastAsia="楷体_GB2312" w:cs="楷体_GB2312"/>
          <w:b w:val="0"/>
          <w:bCs w:val="0"/>
          <w:sz w:val="28"/>
          <w:szCs w:val="28"/>
          <w:lang w:eastAsia="zh-CN"/>
        </w:rPr>
      </w:pPr>
      <w:bookmarkStart w:id="3" w:name="_Toc239067540"/>
      <w:r>
        <w:rPr>
          <w:rFonts w:hint="eastAsia" w:ascii="楷体_GB2312" w:hAnsi="楷体_GB2312" w:eastAsia="楷体_GB2312" w:cs="楷体_GB2312"/>
          <w:b w:val="0"/>
          <w:bCs w:val="0"/>
          <w:sz w:val="28"/>
          <w:szCs w:val="28"/>
          <w:lang w:eastAsia="zh-CN"/>
        </w:rPr>
        <w:t>（三）调查时间与频次</w:t>
      </w:r>
      <w:bookmarkEnd w:id="3"/>
    </w:p>
    <w:p>
      <w:pPr>
        <w:pageBreakBefore w:val="0"/>
        <w:widowControl/>
        <w:kinsoku/>
        <w:wordWrap/>
        <w:overflowPunct/>
        <w:topLinePunct w:val="0"/>
        <w:autoSpaceDE/>
        <w:autoSpaceDN/>
        <w:bidi w:val="0"/>
        <w:spacing w:after="0" w:line="460" w:lineRule="exact"/>
        <w:ind w:firstLine="560" w:firstLineChars="200"/>
        <w:textAlignment w:val="auto"/>
        <w:rPr>
          <w:rFonts w:hint="eastAsia" w:ascii="仿宋_GB2312" w:hAnsi="仿宋_GB2312" w:eastAsia="仿宋_GB2312" w:cs="仿宋_GB2312"/>
          <w:b w:val="0"/>
          <w:bCs w:val="0"/>
          <w:sz w:val="28"/>
          <w:szCs w:val="28"/>
          <w:highlight w:val="none"/>
          <w:lang w:eastAsia="zh-CN"/>
        </w:rPr>
      </w:pPr>
      <w:r>
        <w:rPr>
          <w:rFonts w:hint="eastAsia" w:ascii="仿宋_GB2312" w:hAnsi="仿宋_GB2312" w:eastAsia="仿宋_GB2312" w:cs="仿宋_GB2312"/>
          <w:b w:val="0"/>
          <w:bCs w:val="0"/>
          <w:sz w:val="28"/>
          <w:szCs w:val="28"/>
          <w:highlight w:val="none"/>
          <w:lang w:eastAsia="zh-CN"/>
        </w:rPr>
        <w:t>1.调查周期：合同签订后1年</w:t>
      </w:r>
    </w:p>
    <w:p>
      <w:pPr>
        <w:pageBreakBefore w:val="0"/>
        <w:widowControl/>
        <w:kinsoku/>
        <w:wordWrap/>
        <w:overflowPunct/>
        <w:topLinePunct w:val="0"/>
        <w:autoSpaceDE/>
        <w:autoSpaceDN/>
        <w:bidi w:val="0"/>
        <w:spacing w:after="0" w:line="460" w:lineRule="exact"/>
        <w:ind w:firstLine="560" w:firstLineChars="200"/>
        <w:textAlignment w:val="auto"/>
        <w:rPr>
          <w:rFonts w:hint="eastAsia" w:ascii="仿宋_GB2312" w:hAnsi="仿宋_GB2312" w:eastAsia="仿宋_GB2312" w:cs="仿宋_GB2312"/>
          <w:b w:val="0"/>
          <w:bCs w:val="0"/>
          <w:sz w:val="28"/>
          <w:szCs w:val="28"/>
          <w:lang w:eastAsia="zh-CN"/>
        </w:rPr>
      </w:pPr>
      <w:r>
        <w:rPr>
          <w:rFonts w:hint="eastAsia" w:ascii="仿宋_GB2312" w:hAnsi="仿宋_GB2312" w:eastAsia="仿宋_GB2312" w:cs="仿宋_GB2312"/>
          <w:b w:val="0"/>
          <w:bCs w:val="0"/>
          <w:sz w:val="28"/>
          <w:szCs w:val="28"/>
          <w:lang w:eastAsia="zh-CN"/>
        </w:rPr>
        <w:t>2.固定调查：夏季繁殖高峰期（7</w:t>
      </w:r>
      <w:r>
        <w:rPr>
          <w:rFonts w:hint="eastAsia" w:ascii="仿宋_GB2312" w:hAnsi="仿宋_GB2312" w:eastAsia="仿宋_GB2312" w:cs="仿宋_GB2312"/>
          <w:b w:val="0"/>
          <w:bCs w:val="0"/>
          <w:sz w:val="28"/>
          <w:szCs w:val="28"/>
          <w:lang w:val="en-US" w:eastAsia="zh-CN"/>
        </w:rPr>
        <w:t>-</w:t>
      </w:r>
      <w:r>
        <w:rPr>
          <w:rFonts w:hint="eastAsia" w:ascii="仿宋_GB2312" w:hAnsi="仿宋_GB2312" w:eastAsia="仿宋_GB2312" w:cs="仿宋_GB2312"/>
          <w:b w:val="0"/>
          <w:bCs w:val="0"/>
          <w:sz w:val="28"/>
          <w:szCs w:val="28"/>
          <w:lang w:eastAsia="zh-CN"/>
        </w:rPr>
        <w:t>8月）及冬季上岸觅食高峰期（12月至次年1月）各开展1次系统调查，共2次。</w:t>
      </w:r>
    </w:p>
    <w:p>
      <w:pPr>
        <w:pageBreakBefore w:val="0"/>
        <w:widowControl/>
        <w:kinsoku/>
        <w:wordWrap/>
        <w:overflowPunct/>
        <w:topLinePunct w:val="0"/>
        <w:autoSpaceDE/>
        <w:autoSpaceDN/>
        <w:bidi w:val="0"/>
        <w:spacing w:after="0" w:line="460" w:lineRule="exact"/>
        <w:ind w:firstLine="560" w:firstLineChars="200"/>
        <w:textAlignment w:val="auto"/>
        <w:rPr>
          <w:rFonts w:hint="eastAsia" w:ascii="仿宋_GB2312" w:hAnsi="仿宋_GB2312" w:eastAsia="仿宋_GB2312" w:cs="仿宋_GB2312"/>
          <w:b w:val="0"/>
          <w:bCs w:val="0"/>
          <w:sz w:val="28"/>
          <w:szCs w:val="28"/>
          <w:lang w:eastAsia="zh-CN"/>
        </w:rPr>
      </w:pPr>
      <w:r>
        <w:rPr>
          <w:rFonts w:hint="eastAsia" w:ascii="仿宋_GB2312" w:hAnsi="仿宋_GB2312" w:eastAsia="仿宋_GB2312" w:cs="仿宋_GB2312"/>
          <w:b w:val="0"/>
          <w:bCs w:val="0"/>
          <w:sz w:val="28"/>
          <w:szCs w:val="28"/>
          <w:lang w:eastAsia="zh-CN"/>
        </w:rPr>
        <w:t>3.红外相机全年连续监测，每日监测覆盖清晨5:00—9:00与傍晚16:00—20:00的海狸鼠活跃时段，确保数据全面性和可比性。</w:t>
      </w:r>
    </w:p>
    <w:p>
      <w:pPr>
        <w:pStyle w:val="4"/>
        <w:pageBreakBefore w:val="0"/>
        <w:widowControl/>
        <w:kinsoku/>
        <w:wordWrap/>
        <w:overflowPunct/>
        <w:topLinePunct w:val="0"/>
        <w:autoSpaceDE/>
        <w:autoSpaceDN/>
        <w:bidi w:val="0"/>
        <w:spacing w:before="0" w:after="0" w:line="460" w:lineRule="exact"/>
        <w:ind w:firstLine="560" w:firstLineChars="200"/>
        <w:textAlignment w:val="auto"/>
        <w:rPr>
          <w:rFonts w:hint="eastAsia" w:ascii="楷体_GB2312" w:hAnsi="楷体_GB2312" w:eastAsia="楷体_GB2312" w:cs="楷体_GB2312"/>
          <w:b w:val="0"/>
          <w:bCs w:val="0"/>
          <w:sz w:val="28"/>
          <w:szCs w:val="28"/>
          <w:lang w:eastAsia="zh-CN"/>
        </w:rPr>
      </w:pPr>
      <w:bookmarkStart w:id="4" w:name="_Toc239067541"/>
      <w:r>
        <w:rPr>
          <w:rFonts w:hint="eastAsia" w:ascii="楷体_GB2312" w:hAnsi="楷体_GB2312" w:eastAsia="楷体_GB2312" w:cs="楷体_GB2312"/>
          <w:b w:val="0"/>
          <w:bCs w:val="0"/>
          <w:sz w:val="28"/>
          <w:szCs w:val="28"/>
          <w:lang w:eastAsia="zh-CN"/>
        </w:rPr>
        <w:t>（四）调查方法与技术要求</w:t>
      </w:r>
      <w:bookmarkEnd w:id="4"/>
    </w:p>
    <w:p>
      <w:pPr>
        <w:pStyle w:val="5"/>
        <w:pageBreakBefore w:val="0"/>
        <w:widowControl/>
        <w:kinsoku/>
        <w:wordWrap/>
        <w:overflowPunct/>
        <w:topLinePunct w:val="0"/>
        <w:autoSpaceDE/>
        <w:autoSpaceDN/>
        <w:bidi w:val="0"/>
        <w:spacing w:before="0" w:after="0" w:line="460" w:lineRule="exact"/>
        <w:ind w:firstLine="560" w:firstLineChars="200"/>
        <w:textAlignment w:val="auto"/>
        <w:rPr>
          <w:rFonts w:hint="eastAsia" w:ascii="仿宋_GB2312" w:hAnsi="仿宋_GB2312" w:eastAsia="仿宋_GB2312" w:cs="仿宋_GB2312"/>
          <w:b w:val="0"/>
          <w:bCs w:val="0"/>
          <w:sz w:val="28"/>
          <w:szCs w:val="28"/>
          <w:lang w:eastAsia="zh-CN"/>
        </w:rPr>
      </w:pPr>
      <w:r>
        <w:rPr>
          <w:rFonts w:hint="eastAsia" w:ascii="仿宋_GB2312" w:hAnsi="仿宋_GB2312" w:eastAsia="仿宋_GB2312" w:cs="仿宋_GB2312"/>
          <w:b w:val="0"/>
          <w:bCs w:val="0"/>
          <w:sz w:val="28"/>
          <w:szCs w:val="28"/>
          <w:lang w:eastAsia="zh-CN"/>
        </w:rPr>
        <w:t>1.红外相机监测法</w:t>
      </w:r>
    </w:p>
    <w:p>
      <w:pPr>
        <w:pageBreakBefore w:val="0"/>
        <w:widowControl/>
        <w:kinsoku/>
        <w:wordWrap/>
        <w:overflowPunct/>
        <w:topLinePunct w:val="0"/>
        <w:autoSpaceDE/>
        <w:autoSpaceDN/>
        <w:bidi w:val="0"/>
        <w:spacing w:after="0" w:line="460" w:lineRule="exact"/>
        <w:ind w:firstLine="560" w:firstLineChars="200"/>
        <w:textAlignment w:val="auto"/>
        <w:rPr>
          <w:rFonts w:hint="eastAsia" w:ascii="仿宋_GB2312" w:hAnsi="仿宋_GB2312" w:eastAsia="仿宋_GB2312" w:cs="仿宋_GB2312"/>
          <w:b w:val="0"/>
          <w:bCs w:val="0"/>
          <w:sz w:val="28"/>
          <w:szCs w:val="28"/>
          <w:lang w:eastAsia="zh-CN"/>
        </w:rPr>
      </w:pPr>
      <w:r>
        <w:rPr>
          <w:rFonts w:hint="eastAsia" w:ascii="仿宋_GB2312" w:hAnsi="仿宋_GB2312" w:eastAsia="仿宋_GB2312" w:cs="仿宋_GB2312"/>
          <w:b w:val="0"/>
          <w:bCs w:val="0"/>
          <w:sz w:val="28"/>
          <w:szCs w:val="28"/>
          <w:lang w:eastAsia="zh-CN"/>
        </w:rPr>
        <w:t>红外相机监测是本次调查的核心定量手段。相机架设高度距地面20</w:t>
      </w:r>
      <w:r>
        <w:rPr>
          <w:rFonts w:hint="eastAsia" w:ascii="仿宋_GB2312" w:hAnsi="仿宋_GB2312" w:eastAsia="仿宋_GB2312" w:cs="仿宋_GB2312"/>
          <w:b w:val="0"/>
          <w:bCs w:val="0"/>
          <w:sz w:val="28"/>
          <w:szCs w:val="28"/>
          <w:lang w:val="en-US" w:eastAsia="zh-CN"/>
        </w:rPr>
        <w:t>-</w:t>
      </w:r>
      <w:r>
        <w:rPr>
          <w:rFonts w:hint="eastAsia" w:ascii="仿宋_GB2312" w:hAnsi="仿宋_GB2312" w:eastAsia="仿宋_GB2312" w:cs="仿宋_GB2312"/>
          <w:b w:val="0"/>
          <w:bCs w:val="0"/>
          <w:sz w:val="28"/>
          <w:szCs w:val="28"/>
          <w:lang w:eastAsia="zh-CN"/>
        </w:rPr>
        <w:t>60厘米，镜头略向下倾，与海狸鼠活动路径呈锐角，避免朝正东阳光直射方向；清理镜头前方枝叶遮挡，保证视野清晰；布设前校准参数并定期维护。每月回收数据，记录有效拍摄次数、个体数、行为类型、时间及生境信息，据此构建日、月、季活动曲线，为种群分析提供可靠依据。</w:t>
      </w:r>
    </w:p>
    <w:p>
      <w:pPr>
        <w:pStyle w:val="5"/>
        <w:pageBreakBefore w:val="0"/>
        <w:widowControl/>
        <w:kinsoku/>
        <w:wordWrap/>
        <w:overflowPunct/>
        <w:topLinePunct w:val="0"/>
        <w:autoSpaceDE/>
        <w:autoSpaceDN/>
        <w:bidi w:val="0"/>
        <w:spacing w:before="0" w:after="0" w:line="460" w:lineRule="exact"/>
        <w:ind w:firstLine="560" w:firstLineChars="200"/>
        <w:textAlignment w:val="auto"/>
        <w:rPr>
          <w:rFonts w:hint="eastAsia" w:ascii="仿宋_GB2312" w:hAnsi="仿宋_GB2312" w:eastAsia="仿宋_GB2312" w:cs="仿宋_GB2312"/>
          <w:b w:val="0"/>
          <w:bCs w:val="0"/>
          <w:sz w:val="28"/>
          <w:szCs w:val="28"/>
          <w:lang w:eastAsia="zh-CN"/>
        </w:rPr>
      </w:pPr>
      <w:r>
        <w:rPr>
          <w:rFonts w:hint="eastAsia" w:ascii="仿宋_GB2312" w:hAnsi="仿宋_GB2312" w:eastAsia="仿宋_GB2312" w:cs="仿宋_GB2312"/>
          <w:b w:val="0"/>
          <w:bCs w:val="0"/>
          <w:sz w:val="28"/>
          <w:szCs w:val="28"/>
          <w:lang w:val="en-US" w:eastAsia="zh-CN"/>
        </w:rPr>
        <w:t>2</w:t>
      </w:r>
      <w:r>
        <w:rPr>
          <w:rFonts w:hint="eastAsia" w:ascii="仿宋_GB2312" w:hAnsi="仿宋_GB2312" w:eastAsia="仿宋_GB2312" w:cs="仿宋_GB2312"/>
          <w:b w:val="0"/>
          <w:bCs w:val="0"/>
          <w:sz w:val="28"/>
          <w:szCs w:val="28"/>
          <w:lang w:eastAsia="zh-CN"/>
        </w:rPr>
        <w:t>.样线法</w:t>
      </w:r>
    </w:p>
    <w:p>
      <w:pPr>
        <w:pageBreakBefore w:val="0"/>
        <w:widowControl/>
        <w:kinsoku/>
        <w:wordWrap/>
        <w:overflowPunct/>
        <w:topLinePunct w:val="0"/>
        <w:autoSpaceDE/>
        <w:autoSpaceDN/>
        <w:bidi w:val="0"/>
        <w:spacing w:after="0" w:line="460" w:lineRule="exact"/>
        <w:ind w:firstLine="560" w:firstLineChars="200"/>
        <w:textAlignment w:val="auto"/>
        <w:rPr>
          <w:rFonts w:hint="eastAsia" w:ascii="仿宋_GB2312" w:hAnsi="仿宋_GB2312" w:eastAsia="仿宋_GB2312" w:cs="仿宋_GB2312"/>
          <w:b w:val="0"/>
          <w:bCs w:val="0"/>
          <w:sz w:val="28"/>
          <w:szCs w:val="28"/>
          <w:lang w:eastAsia="zh-CN"/>
        </w:rPr>
      </w:pPr>
      <w:r>
        <w:rPr>
          <w:rFonts w:hint="eastAsia" w:ascii="仿宋_GB2312" w:hAnsi="仿宋_GB2312" w:eastAsia="仿宋_GB2312" w:cs="仿宋_GB2312"/>
          <w:b w:val="0"/>
          <w:bCs w:val="0"/>
          <w:sz w:val="28"/>
          <w:szCs w:val="28"/>
          <w:lang w:val="en-US" w:eastAsia="zh-CN"/>
        </w:rPr>
        <w:t>(1)</w:t>
      </w:r>
      <w:r>
        <w:rPr>
          <w:rFonts w:hint="eastAsia" w:ascii="仿宋_GB2312" w:hAnsi="仿宋_GB2312" w:eastAsia="仿宋_GB2312" w:cs="仿宋_GB2312"/>
          <w:b w:val="0"/>
          <w:bCs w:val="0"/>
          <w:sz w:val="28"/>
          <w:szCs w:val="28"/>
          <w:lang w:eastAsia="zh-CN"/>
        </w:rPr>
        <w:t>用于分析海狸鼠的空间分布特征和栖息地选择。2个村分别设置5条（共10条）样线</w:t>
      </w:r>
      <w:r>
        <w:rPr>
          <w:rFonts w:hint="eastAsia" w:ascii="仿宋_GB2312" w:hAnsi="仿宋_GB2312" w:eastAsia="仿宋_GB2312" w:cs="仿宋_GB2312"/>
          <w:b w:val="0"/>
          <w:bCs w:val="0"/>
          <w:sz w:val="28"/>
          <w:szCs w:val="28"/>
          <w:lang w:val="en-US" w:eastAsia="zh-CN"/>
        </w:rPr>
        <w:t>,</w:t>
      </w:r>
      <w:r>
        <w:rPr>
          <w:rFonts w:hint="eastAsia" w:ascii="仿宋_GB2312" w:hAnsi="仿宋_GB2312" w:eastAsia="仿宋_GB2312" w:cs="仿宋_GB2312"/>
          <w:b w:val="0"/>
          <w:bCs w:val="0"/>
          <w:sz w:val="28"/>
          <w:szCs w:val="28"/>
          <w:lang w:eastAsia="zh-CN"/>
        </w:rPr>
        <w:t>长度不低于600米的固定样线，相邻样线间距不小于300米，覆盖河道、农田、林地及湿地等主要生境。巡查速度1.5</w:t>
      </w:r>
      <w:r>
        <w:rPr>
          <w:rFonts w:hint="eastAsia" w:ascii="仿宋_GB2312" w:hAnsi="仿宋_GB2312" w:eastAsia="仿宋_GB2312" w:cs="仿宋_GB2312"/>
          <w:b w:val="0"/>
          <w:bCs w:val="0"/>
          <w:sz w:val="28"/>
          <w:szCs w:val="28"/>
          <w:lang w:val="en-US" w:eastAsia="zh-CN"/>
        </w:rPr>
        <w:t>-</w:t>
      </w:r>
      <w:r>
        <w:rPr>
          <w:rFonts w:hint="eastAsia" w:ascii="仿宋_GB2312" w:hAnsi="仿宋_GB2312" w:eastAsia="仿宋_GB2312" w:cs="仿宋_GB2312"/>
          <w:b w:val="0"/>
          <w:bCs w:val="0"/>
          <w:sz w:val="28"/>
          <w:szCs w:val="28"/>
          <w:lang w:eastAsia="zh-CN"/>
        </w:rPr>
        <w:t>3公里/小时，记录个体数量、痕迹数量、距样线中线的垂直距离、生境类型、GPS点位及危害等级；夏季繁殖高峰期和冬季上岸觅食高峰期各重复1次，确保数据季节可比性和空间完整性。</w:t>
      </w:r>
    </w:p>
    <w:p>
      <w:pPr>
        <w:pageBreakBefore w:val="0"/>
        <w:widowControl/>
        <w:kinsoku/>
        <w:wordWrap/>
        <w:overflowPunct/>
        <w:topLinePunct w:val="0"/>
        <w:autoSpaceDE/>
        <w:autoSpaceDN/>
        <w:bidi w:val="0"/>
        <w:spacing w:after="0" w:line="460" w:lineRule="exact"/>
        <w:ind w:firstLine="560" w:firstLineChars="200"/>
        <w:textAlignment w:val="auto"/>
        <w:rPr>
          <w:rFonts w:hint="eastAsia"/>
          <w:lang w:eastAsia="zh-CN"/>
        </w:rPr>
      </w:pPr>
      <w:r>
        <w:rPr>
          <w:rFonts w:hint="eastAsia" w:ascii="仿宋_GB2312" w:hAnsi="仿宋_GB2312" w:eastAsia="仿宋_GB2312" w:cs="仿宋_GB2312"/>
          <w:b w:val="0"/>
          <w:bCs w:val="0"/>
          <w:sz w:val="28"/>
          <w:szCs w:val="28"/>
          <w:lang w:val="en-US" w:eastAsia="zh-CN"/>
        </w:rPr>
        <w:t>(2)</w:t>
      </w:r>
      <w:r>
        <w:rPr>
          <w:rFonts w:hint="eastAsia" w:ascii="仿宋_GB2312" w:hAnsi="仿宋_GB2312" w:eastAsia="仿宋_GB2312" w:cs="仿宋_GB2312"/>
          <w:b w:val="0"/>
          <w:bCs w:val="0"/>
          <w:sz w:val="28"/>
          <w:szCs w:val="28"/>
          <w:lang w:eastAsia="zh-CN"/>
        </w:rPr>
        <w:t>用于估算海狸鼠种群密度，并与红外相机监测数据进行交叉验证。在红外相机周边设置20米×40米标准痕迹样方，记录粪便、体毛、爪印、食痕、卧迹、尿迹、洞穴及足迹链等指标，分类计数、测量尺寸并估算出现频次；建立痕迹指数与种群密度回归模型，实现无干扰种群密度科学估算。</w:t>
      </w:r>
    </w:p>
    <w:p>
      <w:pPr>
        <w:pStyle w:val="4"/>
        <w:pageBreakBefore w:val="0"/>
        <w:widowControl/>
        <w:kinsoku/>
        <w:wordWrap/>
        <w:overflowPunct/>
        <w:topLinePunct w:val="0"/>
        <w:autoSpaceDE/>
        <w:autoSpaceDN/>
        <w:bidi w:val="0"/>
        <w:spacing w:before="0" w:after="0" w:line="460" w:lineRule="exact"/>
        <w:ind w:firstLine="560" w:firstLineChars="200"/>
        <w:textAlignment w:val="auto"/>
        <w:rPr>
          <w:rFonts w:hint="eastAsia" w:ascii="楷体_GB2312" w:hAnsi="楷体_GB2312" w:eastAsia="楷体_GB2312" w:cs="楷体_GB2312"/>
          <w:b w:val="0"/>
          <w:bCs w:val="0"/>
          <w:sz w:val="28"/>
          <w:szCs w:val="28"/>
          <w:lang w:eastAsia="zh-CN"/>
        </w:rPr>
      </w:pPr>
      <w:bookmarkStart w:id="5" w:name="_Toc239067542"/>
      <w:r>
        <w:rPr>
          <w:rFonts w:hint="eastAsia" w:ascii="楷体_GB2312" w:hAnsi="楷体_GB2312" w:eastAsia="楷体_GB2312" w:cs="楷体_GB2312"/>
          <w:b w:val="0"/>
          <w:bCs w:val="0"/>
          <w:sz w:val="28"/>
          <w:szCs w:val="28"/>
          <w:lang w:eastAsia="zh-CN"/>
        </w:rPr>
        <w:t>（五）数据采集、质量控制与安全管理</w:t>
      </w:r>
      <w:bookmarkEnd w:id="5"/>
    </w:p>
    <w:p>
      <w:pPr>
        <w:pageBreakBefore w:val="0"/>
        <w:widowControl/>
        <w:kinsoku/>
        <w:wordWrap/>
        <w:overflowPunct/>
        <w:topLinePunct w:val="0"/>
        <w:autoSpaceDE/>
        <w:autoSpaceDN/>
        <w:bidi w:val="0"/>
        <w:spacing w:after="0" w:line="460" w:lineRule="exact"/>
        <w:ind w:firstLine="560" w:firstLineChars="200"/>
        <w:textAlignment w:val="auto"/>
        <w:rPr>
          <w:rFonts w:hint="eastAsia" w:ascii="仿宋_GB2312" w:hAnsi="仿宋_GB2312" w:eastAsia="仿宋_GB2312" w:cs="仿宋_GB2312"/>
          <w:b w:val="0"/>
          <w:bCs w:val="0"/>
          <w:sz w:val="28"/>
          <w:szCs w:val="28"/>
          <w:lang w:eastAsia="zh-CN"/>
        </w:rPr>
      </w:pPr>
      <w:r>
        <w:rPr>
          <w:rFonts w:hint="eastAsia" w:ascii="仿宋_GB2312" w:hAnsi="仿宋_GB2312" w:eastAsia="仿宋_GB2312" w:cs="仿宋_GB2312"/>
          <w:b w:val="0"/>
          <w:bCs w:val="0"/>
          <w:sz w:val="28"/>
          <w:szCs w:val="28"/>
          <w:lang w:eastAsia="zh-CN"/>
        </w:rPr>
        <w:t>1.人员管理：参与调查人员须经统一培训</w:t>
      </w:r>
      <w:r>
        <w:rPr>
          <w:rFonts w:hint="eastAsia" w:ascii="仿宋_GB2312" w:hAnsi="仿宋_GB2312" w:eastAsia="仿宋_GB2312" w:cs="仿宋_GB2312"/>
          <w:b w:val="0"/>
          <w:bCs w:val="0"/>
          <w:sz w:val="28"/>
          <w:szCs w:val="28"/>
          <w:highlight w:val="none"/>
          <w:lang w:eastAsia="zh-CN"/>
        </w:rPr>
        <w:t>后方可</w:t>
      </w:r>
      <w:r>
        <w:rPr>
          <w:rFonts w:hint="eastAsia" w:ascii="仿宋_GB2312" w:hAnsi="仿宋_GB2312" w:eastAsia="仿宋_GB2312" w:cs="仿宋_GB2312"/>
          <w:b w:val="0"/>
          <w:bCs w:val="0"/>
          <w:sz w:val="28"/>
          <w:szCs w:val="28"/>
          <w:lang w:eastAsia="zh-CN"/>
        </w:rPr>
        <w:t>上岗，掌握海狸鼠及其痕迹识别标准、红外相机操作流程、样线巡查方法、痕迹样方采集、危害记录及疫源抽样操作要点。</w:t>
      </w:r>
    </w:p>
    <w:p>
      <w:pPr>
        <w:pageBreakBefore w:val="0"/>
        <w:widowControl/>
        <w:kinsoku/>
        <w:wordWrap/>
        <w:overflowPunct/>
        <w:topLinePunct w:val="0"/>
        <w:autoSpaceDE/>
        <w:autoSpaceDN/>
        <w:bidi w:val="0"/>
        <w:spacing w:after="0" w:line="460" w:lineRule="exact"/>
        <w:ind w:firstLine="560" w:firstLineChars="200"/>
        <w:textAlignment w:val="auto"/>
        <w:rPr>
          <w:rFonts w:hint="eastAsia" w:ascii="仿宋_GB2312" w:hAnsi="仿宋_GB2312" w:eastAsia="仿宋_GB2312" w:cs="仿宋_GB2312"/>
          <w:b w:val="0"/>
          <w:bCs w:val="0"/>
          <w:sz w:val="28"/>
          <w:szCs w:val="28"/>
          <w:lang w:eastAsia="zh-CN"/>
        </w:rPr>
      </w:pPr>
      <w:r>
        <w:rPr>
          <w:rFonts w:hint="eastAsia" w:ascii="仿宋_GB2312" w:hAnsi="仿宋_GB2312" w:eastAsia="仿宋_GB2312" w:cs="仿宋_GB2312"/>
          <w:b w:val="0"/>
          <w:bCs w:val="0"/>
          <w:sz w:val="28"/>
          <w:szCs w:val="28"/>
          <w:lang w:eastAsia="zh-CN"/>
        </w:rPr>
        <w:t>2.标准化要求：严格执行红外相机架设高度（20</w:t>
      </w:r>
      <w:r>
        <w:rPr>
          <w:rFonts w:hint="eastAsia" w:ascii="仿宋_GB2312" w:hAnsi="仿宋_GB2312" w:eastAsia="仿宋_GB2312" w:cs="仿宋_GB2312"/>
          <w:b w:val="0"/>
          <w:bCs w:val="0"/>
          <w:sz w:val="28"/>
          <w:szCs w:val="28"/>
          <w:lang w:val="en-US" w:eastAsia="zh-CN"/>
        </w:rPr>
        <w:t>-</w:t>
      </w:r>
      <w:r>
        <w:rPr>
          <w:rFonts w:hint="eastAsia" w:ascii="仿宋_GB2312" w:hAnsi="仿宋_GB2312" w:eastAsia="仿宋_GB2312" w:cs="仿宋_GB2312"/>
          <w:b w:val="0"/>
          <w:bCs w:val="0"/>
          <w:sz w:val="28"/>
          <w:szCs w:val="28"/>
          <w:lang w:eastAsia="zh-CN"/>
        </w:rPr>
        <w:t>60厘米）、样方尺寸（20米×40米）、样线长度（≥600米）与间距（≥300米）等标准，保证数据可比。</w:t>
      </w:r>
    </w:p>
    <w:p>
      <w:pPr>
        <w:pageBreakBefore w:val="0"/>
        <w:widowControl/>
        <w:kinsoku/>
        <w:wordWrap/>
        <w:overflowPunct/>
        <w:topLinePunct w:val="0"/>
        <w:autoSpaceDE/>
        <w:autoSpaceDN/>
        <w:bidi w:val="0"/>
        <w:spacing w:after="0" w:line="460" w:lineRule="exact"/>
        <w:ind w:firstLine="560" w:firstLineChars="200"/>
        <w:textAlignment w:val="auto"/>
        <w:rPr>
          <w:rFonts w:hint="eastAsia" w:ascii="仿宋_GB2312" w:hAnsi="仿宋_GB2312" w:eastAsia="仿宋_GB2312" w:cs="仿宋_GB2312"/>
          <w:b w:val="0"/>
          <w:bCs w:val="0"/>
          <w:sz w:val="28"/>
          <w:szCs w:val="28"/>
          <w:lang w:eastAsia="zh-CN"/>
        </w:rPr>
      </w:pPr>
      <w:r>
        <w:rPr>
          <w:rFonts w:hint="eastAsia" w:ascii="仿宋_GB2312" w:hAnsi="仿宋_GB2312" w:eastAsia="仿宋_GB2312" w:cs="仿宋_GB2312"/>
          <w:b w:val="0"/>
          <w:bCs w:val="0"/>
          <w:sz w:val="28"/>
          <w:szCs w:val="28"/>
          <w:lang w:eastAsia="zh-CN"/>
        </w:rPr>
        <w:t>3.数据规范：使用统一Excel模板记录，字段包括时间、经纬度、海拔、样区编号、红外相机编号、生境类型、个体/痕迹数量、危害等级及影像资料等，确保信息完整、可追溯。</w:t>
      </w:r>
    </w:p>
    <w:p>
      <w:pPr>
        <w:pageBreakBefore w:val="0"/>
        <w:widowControl/>
        <w:kinsoku/>
        <w:wordWrap/>
        <w:overflowPunct/>
        <w:topLinePunct w:val="0"/>
        <w:autoSpaceDE/>
        <w:autoSpaceDN/>
        <w:bidi w:val="0"/>
        <w:spacing w:after="0" w:line="460" w:lineRule="exact"/>
        <w:ind w:firstLine="560" w:firstLineChars="200"/>
        <w:textAlignment w:val="auto"/>
        <w:rPr>
          <w:rFonts w:hint="eastAsia" w:ascii="仿宋_GB2312" w:hAnsi="仿宋_GB2312" w:eastAsia="仿宋_GB2312" w:cs="仿宋_GB2312"/>
          <w:b w:val="0"/>
          <w:bCs w:val="0"/>
          <w:sz w:val="28"/>
          <w:szCs w:val="28"/>
          <w:lang w:eastAsia="zh-CN"/>
        </w:rPr>
      </w:pPr>
      <w:r>
        <w:rPr>
          <w:rFonts w:hint="eastAsia" w:ascii="仿宋_GB2312" w:hAnsi="仿宋_GB2312" w:eastAsia="仿宋_GB2312" w:cs="仿宋_GB2312"/>
          <w:b w:val="0"/>
          <w:bCs w:val="0"/>
          <w:sz w:val="28"/>
          <w:szCs w:val="28"/>
          <w:lang w:eastAsia="zh-CN"/>
        </w:rPr>
        <w:t>4.复核制度：</w:t>
      </w:r>
      <w:r>
        <w:rPr>
          <w:rFonts w:hint="eastAsia" w:ascii="仿宋_GB2312" w:hAnsi="仿宋_GB2312" w:eastAsia="仿宋_GB2312" w:cs="仿宋_GB2312"/>
          <w:b w:val="0"/>
          <w:bCs w:val="0"/>
          <w:sz w:val="28"/>
          <w:szCs w:val="28"/>
          <w:highlight w:val="none"/>
          <w:lang w:eastAsia="zh-CN"/>
        </w:rPr>
        <w:t>每10%的样线</w:t>
      </w:r>
      <w:r>
        <w:rPr>
          <w:rFonts w:hint="eastAsia" w:ascii="仿宋_GB2312" w:hAnsi="仿宋_GB2312" w:eastAsia="仿宋_GB2312" w:cs="仿宋_GB2312"/>
          <w:b w:val="0"/>
          <w:bCs w:val="0"/>
          <w:sz w:val="28"/>
          <w:szCs w:val="28"/>
          <w:lang w:eastAsia="zh-CN"/>
        </w:rPr>
        <w:t>和样方进行双人复核，巡查和记录结果相互对照，必要时拍照存档；数据录入后由项目负责人进行二次检查，发现异常及时纠正。</w:t>
      </w:r>
    </w:p>
    <w:p>
      <w:pPr>
        <w:pageBreakBefore w:val="0"/>
        <w:widowControl/>
        <w:kinsoku/>
        <w:wordWrap/>
        <w:overflowPunct/>
        <w:topLinePunct w:val="0"/>
        <w:autoSpaceDE/>
        <w:autoSpaceDN/>
        <w:bidi w:val="0"/>
        <w:spacing w:after="0" w:line="460" w:lineRule="exact"/>
        <w:ind w:firstLine="560" w:firstLineChars="200"/>
        <w:textAlignment w:val="auto"/>
        <w:rPr>
          <w:rFonts w:hint="eastAsia" w:ascii="仿宋_GB2312" w:hAnsi="仿宋_GB2312" w:eastAsia="仿宋_GB2312" w:cs="仿宋_GB2312"/>
          <w:b w:val="0"/>
          <w:bCs w:val="0"/>
          <w:sz w:val="28"/>
          <w:szCs w:val="28"/>
          <w:lang w:eastAsia="zh-CN"/>
        </w:rPr>
      </w:pPr>
      <w:r>
        <w:rPr>
          <w:rFonts w:hint="eastAsia" w:ascii="仿宋_GB2312" w:hAnsi="仿宋_GB2312" w:eastAsia="仿宋_GB2312" w:cs="仿宋_GB2312"/>
          <w:b w:val="0"/>
          <w:bCs w:val="0"/>
          <w:sz w:val="28"/>
          <w:szCs w:val="28"/>
          <w:lang w:eastAsia="zh-CN"/>
        </w:rPr>
        <w:t>5.安全规范：调查人员配备必要防护装备，避免直接接触活体和尸体；痕迹样方及采集样本密封保存、分类编号，坚持非侵害性采样；疫源抽样严格遵守病原检测安全操作规程，防止交叉污染和健康风险。</w:t>
      </w:r>
    </w:p>
    <w:p>
      <w:pPr>
        <w:pStyle w:val="4"/>
        <w:pageBreakBefore w:val="0"/>
        <w:widowControl/>
        <w:kinsoku/>
        <w:wordWrap/>
        <w:overflowPunct/>
        <w:topLinePunct w:val="0"/>
        <w:autoSpaceDE/>
        <w:autoSpaceDN/>
        <w:bidi w:val="0"/>
        <w:spacing w:before="0" w:after="0" w:line="460" w:lineRule="exact"/>
        <w:ind w:firstLine="560" w:firstLineChars="200"/>
        <w:textAlignment w:val="auto"/>
        <w:rPr>
          <w:rFonts w:hint="eastAsia" w:ascii="楷体_GB2312" w:hAnsi="楷体_GB2312" w:eastAsia="楷体_GB2312" w:cs="楷体_GB2312"/>
          <w:b w:val="0"/>
          <w:bCs w:val="0"/>
          <w:sz w:val="28"/>
          <w:szCs w:val="28"/>
          <w:lang w:val="en-US" w:eastAsia="zh-CN"/>
        </w:rPr>
      </w:pPr>
      <w:bookmarkStart w:id="6" w:name="_Toc239067543"/>
      <w:r>
        <w:rPr>
          <w:rFonts w:hint="eastAsia" w:ascii="楷体_GB2312" w:hAnsi="楷体_GB2312" w:eastAsia="楷体_GB2312" w:cs="楷体_GB2312"/>
          <w:b w:val="0"/>
          <w:bCs w:val="0"/>
          <w:sz w:val="28"/>
          <w:szCs w:val="28"/>
          <w:lang w:eastAsia="zh-CN"/>
        </w:rPr>
        <w:t>（六）</w:t>
      </w:r>
      <w:bookmarkEnd w:id="6"/>
      <w:r>
        <w:rPr>
          <w:rFonts w:hint="eastAsia" w:ascii="楷体_GB2312" w:hAnsi="楷体_GB2312" w:eastAsia="楷体_GB2312" w:cs="楷体_GB2312"/>
          <w:b w:val="0"/>
          <w:bCs w:val="0"/>
          <w:sz w:val="28"/>
          <w:szCs w:val="28"/>
          <w:lang w:val="en-US" w:eastAsia="zh-CN"/>
        </w:rPr>
        <w:t>验收标准</w:t>
      </w:r>
    </w:p>
    <w:p>
      <w:pPr>
        <w:pageBreakBefore w:val="0"/>
        <w:widowControl/>
        <w:kinsoku/>
        <w:wordWrap/>
        <w:overflowPunct/>
        <w:topLinePunct w:val="0"/>
        <w:autoSpaceDE/>
        <w:autoSpaceDN/>
        <w:bidi w:val="0"/>
        <w:spacing w:after="0" w:line="460" w:lineRule="exact"/>
        <w:ind w:firstLine="560" w:firstLineChars="200"/>
        <w:textAlignment w:val="auto"/>
        <w:rPr>
          <w:rFonts w:hint="eastAsia" w:ascii="仿宋_GB2312" w:hAnsi="仿宋_GB2312" w:eastAsia="仿宋_GB2312" w:cs="仿宋_GB2312"/>
          <w:b w:val="0"/>
          <w:bCs w:val="0"/>
          <w:sz w:val="28"/>
          <w:szCs w:val="28"/>
          <w:lang w:eastAsia="zh-CN"/>
        </w:rPr>
      </w:pPr>
      <w:r>
        <w:rPr>
          <w:rFonts w:hint="eastAsia" w:ascii="仿宋_GB2312" w:hAnsi="仿宋_GB2312" w:eastAsia="仿宋_GB2312" w:cs="仿宋_GB2312"/>
          <w:b w:val="0"/>
          <w:bCs w:val="0"/>
          <w:sz w:val="28"/>
          <w:szCs w:val="28"/>
          <w:lang w:eastAsia="zh-CN"/>
        </w:rPr>
        <w:t>1.《松江区海狸鼠专项</w:t>
      </w:r>
      <w:r>
        <w:rPr>
          <w:rFonts w:hint="eastAsia" w:ascii="仿宋_GB2312" w:hAnsi="仿宋_GB2312" w:eastAsia="仿宋_GB2312" w:cs="仿宋_GB2312"/>
          <w:b w:val="0"/>
          <w:bCs w:val="0"/>
          <w:sz w:val="28"/>
          <w:szCs w:val="28"/>
          <w:lang w:val="en-US" w:eastAsia="zh-CN"/>
        </w:rPr>
        <w:t>监测总结</w:t>
      </w:r>
      <w:r>
        <w:rPr>
          <w:rFonts w:hint="eastAsia" w:ascii="仿宋_GB2312" w:hAnsi="仿宋_GB2312" w:eastAsia="仿宋_GB2312" w:cs="仿宋_GB2312"/>
          <w:b w:val="0"/>
          <w:bCs w:val="0"/>
          <w:sz w:val="28"/>
          <w:szCs w:val="28"/>
          <w:lang w:eastAsia="zh-CN"/>
        </w:rPr>
        <w:t>报告》</w:t>
      </w:r>
    </w:p>
    <w:p>
      <w:pPr>
        <w:pageBreakBefore w:val="0"/>
        <w:widowControl/>
        <w:kinsoku/>
        <w:wordWrap/>
        <w:overflowPunct/>
        <w:topLinePunct w:val="0"/>
        <w:autoSpaceDE/>
        <w:autoSpaceDN/>
        <w:bidi w:val="0"/>
        <w:spacing w:after="0" w:line="460" w:lineRule="exact"/>
        <w:ind w:firstLine="560" w:firstLineChars="200"/>
        <w:textAlignment w:val="auto"/>
        <w:rPr>
          <w:rFonts w:hint="eastAsia" w:ascii="仿宋_GB2312" w:hAnsi="仿宋_GB2312" w:eastAsia="仿宋_GB2312" w:cs="仿宋_GB2312"/>
          <w:b w:val="0"/>
          <w:bCs w:val="0"/>
          <w:sz w:val="28"/>
          <w:szCs w:val="28"/>
          <w:lang w:eastAsia="zh-CN"/>
        </w:rPr>
      </w:pPr>
      <w:r>
        <w:rPr>
          <w:rFonts w:hint="eastAsia" w:ascii="仿宋_GB2312" w:hAnsi="仿宋_GB2312" w:eastAsia="仿宋_GB2312" w:cs="仿宋_GB2312"/>
          <w:b w:val="0"/>
          <w:bCs w:val="0"/>
          <w:sz w:val="28"/>
          <w:szCs w:val="28"/>
          <w:lang w:val="en-US" w:eastAsia="zh-CN"/>
        </w:rPr>
        <w:t>2</w:t>
      </w:r>
      <w:r>
        <w:rPr>
          <w:rFonts w:hint="eastAsia" w:ascii="仿宋_GB2312" w:hAnsi="仿宋_GB2312" w:eastAsia="仿宋_GB2312" w:cs="仿宋_GB2312"/>
          <w:b w:val="0"/>
          <w:bCs w:val="0"/>
          <w:sz w:val="28"/>
          <w:szCs w:val="28"/>
          <w:lang w:eastAsia="zh-CN"/>
        </w:rPr>
        <w:t>.松江区海狸鼠数量分布特征月报告：每月1期，共</w:t>
      </w:r>
      <w:r>
        <w:rPr>
          <w:rFonts w:hint="eastAsia" w:ascii="仿宋_GB2312" w:hAnsi="仿宋_GB2312" w:eastAsia="仿宋_GB2312" w:cs="仿宋_GB2312"/>
          <w:b w:val="0"/>
          <w:bCs w:val="0"/>
          <w:sz w:val="28"/>
          <w:szCs w:val="28"/>
          <w:lang w:val="en-US" w:eastAsia="zh-CN"/>
        </w:rPr>
        <w:t>12期</w:t>
      </w:r>
      <w:r>
        <w:rPr>
          <w:rFonts w:hint="eastAsia" w:ascii="仿宋_GB2312" w:hAnsi="仿宋_GB2312" w:eastAsia="仿宋_GB2312" w:cs="仿宋_GB2312"/>
          <w:b w:val="0"/>
          <w:bCs w:val="0"/>
          <w:sz w:val="28"/>
          <w:szCs w:val="28"/>
          <w:lang w:eastAsia="zh-CN"/>
        </w:rPr>
        <w:t>；</w:t>
      </w:r>
    </w:p>
    <w:p>
      <w:pPr>
        <w:pageBreakBefore w:val="0"/>
        <w:widowControl/>
        <w:kinsoku/>
        <w:wordWrap/>
        <w:overflowPunct/>
        <w:topLinePunct w:val="0"/>
        <w:autoSpaceDE/>
        <w:autoSpaceDN/>
        <w:bidi w:val="0"/>
        <w:spacing w:after="0" w:line="460" w:lineRule="exact"/>
        <w:ind w:firstLine="560" w:firstLineChars="200"/>
        <w:textAlignment w:val="auto"/>
        <w:rPr>
          <w:rFonts w:hint="eastAsia" w:ascii="仿宋_GB2312" w:hAnsi="仿宋_GB2312" w:eastAsia="仿宋_GB2312" w:cs="仿宋_GB2312"/>
          <w:b w:val="0"/>
          <w:bCs w:val="0"/>
          <w:sz w:val="28"/>
          <w:szCs w:val="28"/>
          <w:lang w:eastAsia="zh-CN"/>
        </w:rPr>
      </w:pPr>
      <w:r>
        <w:rPr>
          <w:rFonts w:hint="eastAsia" w:ascii="仿宋_GB2312" w:hAnsi="仿宋_GB2312" w:eastAsia="仿宋_GB2312" w:cs="仿宋_GB2312"/>
          <w:b w:val="0"/>
          <w:bCs w:val="0"/>
          <w:sz w:val="28"/>
          <w:szCs w:val="28"/>
          <w:lang w:val="en-US" w:eastAsia="zh-CN"/>
        </w:rPr>
        <w:t>3</w:t>
      </w:r>
      <w:r>
        <w:rPr>
          <w:rFonts w:hint="eastAsia" w:ascii="仿宋_GB2312" w:hAnsi="仿宋_GB2312" w:eastAsia="仿宋_GB2312" w:cs="仿宋_GB2312"/>
          <w:b w:val="0"/>
          <w:bCs w:val="0"/>
          <w:sz w:val="28"/>
          <w:szCs w:val="28"/>
          <w:lang w:eastAsia="zh-CN"/>
        </w:rPr>
        <w:t>.全部监测分析结果须提交电子版与纸质版，纸质版不少于两份；调查原始数据、影像资料一并移交采购人。</w:t>
      </w:r>
    </w:p>
    <w:p>
      <w:pPr>
        <w:pStyle w:val="4"/>
        <w:pageBreakBefore w:val="0"/>
        <w:widowControl/>
        <w:kinsoku/>
        <w:wordWrap/>
        <w:overflowPunct/>
        <w:topLinePunct w:val="0"/>
        <w:autoSpaceDE/>
        <w:autoSpaceDN/>
        <w:bidi w:val="0"/>
        <w:spacing w:before="0" w:after="0" w:line="460" w:lineRule="exact"/>
        <w:ind w:firstLine="560" w:firstLineChars="200"/>
        <w:textAlignment w:val="auto"/>
        <w:rPr>
          <w:rFonts w:hint="eastAsia" w:ascii="楷体_GB2312" w:hAnsi="楷体_GB2312" w:eastAsia="楷体_GB2312" w:cs="楷体_GB2312"/>
          <w:b w:val="0"/>
          <w:bCs w:val="0"/>
          <w:sz w:val="28"/>
          <w:szCs w:val="28"/>
          <w:lang w:eastAsia="zh-CN"/>
        </w:rPr>
      </w:pPr>
      <w:bookmarkStart w:id="7" w:name="_Toc239067545"/>
      <w:r>
        <w:rPr>
          <w:rFonts w:hint="eastAsia" w:ascii="楷体_GB2312" w:hAnsi="楷体_GB2312" w:eastAsia="楷体_GB2312" w:cs="楷体_GB2312"/>
          <w:b w:val="0"/>
          <w:bCs w:val="0"/>
          <w:sz w:val="28"/>
          <w:szCs w:val="28"/>
          <w:lang w:eastAsia="zh-CN"/>
        </w:rPr>
        <w:t>（</w:t>
      </w:r>
      <w:bookmarkEnd w:id="7"/>
      <w:bookmarkStart w:id="8" w:name="_Toc239067546"/>
      <w:r>
        <w:rPr>
          <w:rFonts w:hint="eastAsia" w:ascii="楷体_GB2312" w:hAnsi="楷体_GB2312" w:eastAsia="楷体_GB2312" w:cs="楷体_GB2312"/>
          <w:b w:val="0"/>
          <w:bCs w:val="0"/>
          <w:sz w:val="28"/>
          <w:szCs w:val="28"/>
          <w:lang w:val="en-US" w:eastAsia="zh-CN"/>
        </w:rPr>
        <w:t>七）</w:t>
      </w:r>
      <w:r>
        <w:rPr>
          <w:rFonts w:hint="eastAsia" w:ascii="楷体_GB2312" w:hAnsi="楷体_GB2312" w:eastAsia="楷体_GB2312" w:cs="楷体_GB2312"/>
          <w:b w:val="0"/>
          <w:bCs w:val="0"/>
          <w:sz w:val="28"/>
          <w:szCs w:val="28"/>
          <w:lang w:eastAsia="zh-CN"/>
        </w:rPr>
        <w:t>验收与款项支付</w:t>
      </w:r>
      <w:bookmarkEnd w:id="8"/>
    </w:p>
    <w:p>
      <w:pPr>
        <w:pageBreakBefore w:val="0"/>
        <w:widowControl/>
        <w:kinsoku/>
        <w:wordWrap/>
        <w:overflowPunct/>
        <w:topLinePunct w:val="0"/>
        <w:autoSpaceDE/>
        <w:autoSpaceDN/>
        <w:bidi w:val="0"/>
        <w:spacing w:after="0" w:line="460" w:lineRule="exact"/>
        <w:ind w:firstLine="560" w:firstLineChars="200"/>
        <w:textAlignment w:val="auto"/>
        <w:rPr>
          <w:rFonts w:hint="eastAsia" w:ascii="仿宋_GB2312" w:hAnsi="仿宋_GB2312" w:eastAsia="仿宋_GB2312" w:cs="仿宋_GB2312"/>
          <w:b w:val="0"/>
          <w:bCs w:val="0"/>
          <w:sz w:val="28"/>
          <w:szCs w:val="28"/>
          <w:lang w:eastAsia="zh-CN"/>
        </w:rPr>
      </w:pPr>
      <w:r>
        <w:rPr>
          <w:rFonts w:hint="eastAsia" w:ascii="仿宋_GB2312" w:hAnsi="仿宋_GB2312" w:eastAsia="仿宋_GB2312" w:cs="仿宋_GB2312"/>
          <w:b w:val="0"/>
          <w:bCs w:val="0"/>
          <w:sz w:val="28"/>
          <w:szCs w:val="28"/>
          <w:lang w:eastAsia="zh-CN"/>
        </w:rPr>
        <w:t>1.验收：以本采购需求、中标供应商投标承诺及合同约定为依据，由采购人（或采购人委托的专家组）对报告及原始记录等资料完整性、规范性等进行验收。</w:t>
      </w:r>
    </w:p>
    <w:p>
      <w:pPr>
        <w:pageBreakBefore w:val="0"/>
        <w:widowControl/>
        <w:kinsoku/>
        <w:wordWrap/>
        <w:overflowPunct/>
        <w:topLinePunct w:val="0"/>
        <w:autoSpaceDE/>
        <w:autoSpaceDN/>
        <w:bidi w:val="0"/>
        <w:spacing w:after="0" w:line="460" w:lineRule="exact"/>
        <w:ind w:firstLine="560" w:firstLineChars="200"/>
        <w:textAlignment w:val="auto"/>
        <w:rPr>
          <w:rFonts w:hint="eastAsia" w:ascii="仿宋_GB2312" w:hAnsi="仿宋_GB2312" w:eastAsia="仿宋_GB2312" w:cs="仿宋_GB2312"/>
          <w:b w:val="0"/>
          <w:bCs w:val="0"/>
          <w:color w:val="auto"/>
          <w:sz w:val="28"/>
          <w:szCs w:val="28"/>
          <w:lang w:eastAsia="zh-CN"/>
        </w:rPr>
      </w:pPr>
      <w:r>
        <w:rPr>
          <w:rFonts w:hint="eastAsia" w:ascii="仿宋_GB2312" w:hAnsi="仿宋_GB2312" w:eastAsia="仿宋_GB2312" w:cs="仿宋_GB2312"/>
          <w:b w:val="0"/>
          <w:bCs w:val="0"/>
          <w:color w:val="auto"/>
          <w:sz w:val="28"/>
          <w:szCs w:val="28"/>
          <w:lang w:eastAsia="zh-CN"/>
        </w:rPr>
        <w:t>2.款项支付：按照考核分两批次付款，第1次付款在服务周期过半考核后支付，末次付款需项目整体验收通过后支付。具体考核评分表见附表。</w:t>
      </w:r>
    </w:p>
    <w:p>
      <w:pPr>
        <w:pageBreakBefore w:val="0"/>
        <w:widowControl/>
        <w:kinsoku/>
        <w:wordWrap/>
        <w:overflowPunct/>
        <w:topLinePunct w:val="0"/>
        <w:autoSpaceDE/>
        <w:autoSpaceDN/>
        <w:bidi w:val="0"/>
        <w:spacing w:after="0" w:line="460" w:lineRule="exact"/>
        <w:ind w:firstLine="560" w:firstLineChars="200"/>
        <w:textAlignment w:val="auto"/>
        <w:rPr>
          <w:rFonts w:hint="eastAsia" w:ascii="仿宋_GB2312" w:hAnsi="仿宋_GB2312" w:eastAsia="仿宋_GB2312" w:cs="仿宋_GB2312"/>
          <w:b w:val="0"/>
          <w:bCs w:val="0"/>
          <w:color w:val="auto"/>
          <w:sz w:val="28"/>
          <w:szCs w:val="28"/>
          <w:lang w:eastAsia="zh-CN"/>
        </w:rPr>
      </w:pPr>
      <w:r>
        <w:rPr>
          <w:rFonts w:hint="eastAsia" w:ascii="仿宋_GB2312" w:hAnsi="仿宋_GB2312" w:eastAsia="仿宋_GB2312" w:cs="仿宋_GB2312"/>
          <w:b w:val="0"/>
          <w:bCs w:val="0"/>
          <w:color w:val="auto"/>
          <w:sz w:val="28"/>
          <w:szCs w:val="28"/>
          <w:lang w:eastAsia="zh-CN"/>
        </w:rPr>
        <w:t>考核评定分优秀、良好、合格和不合格4个等次。得分高于95分(含95)的为优秀，得分在85(含85)-94分的为良好，得分在70(含70)-84分的为合格，得分在69分及以下的为不合格。考核在项目完成后进行，根据考核分数计算应付服务费。</w:t>
      </w:r>
    </w:p>
    <w:p>
      <w:pPr>
        <w:pageBreakBefore w:val="0"/>
        <w:widowControl/>
        <w:kinsoku/>
        <w:wordWrap/>
        <w:overflowPunct/>
        <w:topLinePunct w:val="0"/>
        <w:autoSpaceDE/>
        <w:autoSpaceDN/>
        <w:bidi w:val="0"/>
        <w:spacing w:after="0" w:line="460" w:lineRule="exact"/>
        <w:ind w:firstLine="560" w:firstLineChars="200"/>
        <w:textAlignment w:val="auto"/>
        <w:rPr>
          <w:rFonts w:hint="eastAsia" w:ascii="仿宋_GB2312" w:hAnsi="仿宋_GB2312" w:eastAsia="仿宋_GB2312" w:cs="仿宋_GB2312"/>
          <w:b w:val="0"/>
          <w:bCs w:val="0"/>
          <w:color w:val="auto"/>
          <w:sz w:val="28"/>
          <w:szCs w:val="28"/>
          <w:lang w:eastAsia="zh-CN"/>
        </w:rPr>
      </w:pPr>
      <w:r>
        <w:rPr>
          <w:rFonts w:hint="eastAsia" w:ascii="仿宋_GB2312" w:hAnsi="仿宋_GB2312" w:eastAsia="仿宋_GB2312" w:cs="仿宋_GB2312"/>
          <w:b w:val="0"/>
          <w:bCs w:val="0"/>
          <w:color w:val="auto"/>
          <w:sz w:val="28"/>
          <w:szCs w:val="28"/>
          <w:lang w:eastAsia="zh-CN"/>
        </w:rPr>
        <w:t>本项目预算小于50万元，因此考核结果为优秀的，全额支付服务费；考核结果未达优秀的，每扣一分相应扣除1000元。</w:t>
      </w:r>
    </w:p>
    <w:p>
      <w:pPr>
        <w:pStyle w:val="3"/>
        <w:pageBreakBefore w:val="0"/>
        <w:widowControl/>
        <w:kinsoku/>
        <w:wordWrap/>
        <w:overflowPunct/>
        <w:topLinePunct w:val="0"/>
        <w:autoSpaceDE/>
        <w:autoSpaceDN/>
        <w:bidi w:val="0"/>
        <w:spacing w:before="0" w:after="0" w:line="460" w:lineRule="exact"/>
        <w:ind w:firstLine="560" w:firstLineChars="200"/>
        <w:textAlignment w:val="auto"/>
        <w:rPr>
          <w:rFonts w:hint="eastAsia" w:ascii="黑体" w:hAnsi="黑体" w:eastAsia="黑体" w:cs="黑体"/>
          <w:b w:val="0"/>
          <w:bCs w:val="0"/>
          <w:color w:val="auto"/>
          <w:sz w:val="28"/>
          <w:szCs w:val="28"/>
          <w:lang w:eastAsia="zh-CN"/>
        </w:rPr>
      </w:pPr>
      <w:bookmarkStart w:id="9" w:name="_Toc239067547"/>
      <w:r>
        <w:rPr>
          <w:rFonts w:hint="eastAsia" w:ascii="黑体" w:hAnsi="黑体" w:eastAsia="黑体" w:cs="黑体"/>
          <w:b w:val="0"/>
          <w:bCs w:val="0"/>
          <w:color w:val="auto"/>
          <w:sz w:val="28"/>
          <w:szCs w:val="28"/>
          <w:lang w:val="en-US" w:eastAsia="zh-CN"/>
        </w:rPr>
        <w:t>二</w:t>
      </w:r>
      <w:r>
        <w:rPr>
          <w:rFonts w:hint="eastAsia" w:ascii="黑体" w:hAnsi="黑体" w:eastAsia="黑体" w:cs="黑体"/>
          <w:b w:val="0"/>
          <w:bCs w:val="0"/>
          <w:color w:val="auto"/>
          <w:sz w:val="28"/>
          <w:szCs w:val="28"/>
          <w:lang w:eastAsia="zh-CN"/>
        </w:rPr>
        <w:t>、其他要求</w:t>
      </w:r>
      <w:bookmarkEnd w:id="9"/>
    </w:p>
    <w:p>
      <w:pPr>
        <w:pageBreakBefore w:val="0"/>
        <w:widowControl/>
        <w:kinsoku/>
        <w:wordWrap/>
        <w:overflowPunct/>
        <w:topLinePunct w:val="0"/>
        <w:autoSpaceDE/>
        <w:autoSpaceDN/>
        <w:bidi w:val="0"/>
        <w:spacing w:after="0" w:line="460" w:lineRule="exact"/>
        <w:ind w:firstLine="560" w:firstLineChars="200"/>
        <w:textAlignment w:val="auto"/>
        <w:rPr>
          <w:rFonts w:hint="eastAsia" w:ascii="仿宋_GB2312" w:hAnsi="仿宋_GB2312" w:eastAsia="仿宋_GB2312" w:cs="仿宋_GB2312"/>
          <w:b w:val="0"/>
          <w:bCs w:val="0"/>
          <w:color w:val="auto"/>
          <w:sz w:val="28"/>
          <w:szCs w:val="28"/>
          <w:lang w:eastAsia="zh-CN"/>
        </w:rPr>
      </w:pPr>
      <w:r>
        <w:rPr>
          <w:rFonts w:hint="eastAsia" w:ascii="仿宋_GB2312" w:hAnsi="仿宋_GB2312" w:eastAsia="仿宋_GB2312" w:cs="仿宋_GB2312"/>
          <w:b w:val="0"/>
          <w:bCs w:val="0"/>
          <w:color w:val="auto"/>
          <w:sz w:val="28"/>
          <w:szCs w:val="28"/>
          <w:lang w:eastAsia="zh-CN"/>
        </w:rPr>
        <w:t>1.具备开展野生动物（兽类）调查、生物多样性监测所必需的技术能力与仪器设备条件（提供营业执照或事业单位法人证书、技术能力与设备条件说明）。</w:t>
      </w:r>
    </w:p>
    <w:p>
      <w:pPr>
        <w:pageBreakBefore w:val="0"/>
        <w:widowControl/>
        <w:kinsoku/>
        <w:wordWrap/>
        <w:overflowPunct/>
        <w:topLinePunct w:val="0"/>
        <w:autoSpaceDE/>
        <w:autoSpaceDN/>
        <w:bidi w:val="0"/>
        <w:spacing w:after="0" w:line="460" w:lineRule="exact"/>
        <w:ind w:firstLine="560" w:firstLineChars="200"/>
        <w:textAlignment w:val="auto"/>
        <w:rPr>
          <w:rFonts w:hint="eastAsia" w:ascii="仿宋_GB2312" w:hAnsi="仿宋_GB2312" w:eastAsia="仿宋_GB2312" w:cs="仿宋_GB2312"/>
          <w:b w:val="0"/>
          <w:bCs w:val="0"/>
          <w:color w:val="auto"/>
          <w:sz w:val="28"/>
          <w:szCs w:val="28"/>
          <w:lang w:eastAsia="zh-CN"/>
        </w:rPr>
      </w:pPr>
      <w:r>
        <w:rPr>
          <w:rFonts w:hint="eastAsia" w:ascii="仿宋_GB2312" w:hAnsi="仿宋_GB2312" w:eastAsia="仿宋_GB2312" w:cs="仿宋_GB2312"/>
          <w:b w:val="0"/>
          <w:bCs w:val="0"/>
          <w:color w:val="auto"/>
          <w:sz w:val="28"/>
          <w:szCs w:val="28"/>
          <w:lang w:eastAsia="zh-CN"/>
        </w:rPr>
        <w:t>2.项目负责人须同时满足以下条件：</w:t>
      </w:r>
    </w:p>
    <w:p>
      <w:pPr>
        <w:pageBreakBefore w:val="0"/>
        <w:widowControl/>
        <w:kinsoku/>
        <w:wordWrap/>
        <w:overflowPunct/>
        <w:topLinePunct w:val="0"/>
        <w:autoSpaceDE/>
        <w:autoSpaceDN/>
        <w:bidi w:val="0"/>
        <w:spacing w:after="0" w:line="460" w:lineRule="exact"/>
        <w:ind w:firstLine="560" w:firstLineChars="200"/>
        <w:textAlignment w:val="auto"/>
        <w:rPr>
          <w:rFonts w:hint="eastAsia" w:ascii="仿宋_GB2312" w:hAnsi="仿宋_GB2312" w:eastAsia="仿宋_GB2312" w:cs="仿宋_GB2312"/>
          <w:b w:val="0"/>
          <w:bCs w:val="0"/>
          <w:color w:val="auto"/>
          <w:sz w:val="28"/>
          <w:szCs w:val="28"/>
          <w:lang w:eastAsia="zh-CN"/>
        </w:rPr>
      </w:pPr>
      <w:r>
        <w:rPr>
          <w:rFonts w:hint="eastAsia" w:ascii="仿宋_GB2312" w:hAnsi="仿宋_GB2312" w:eastAsia="仿宋_GB2312" w:cs="仿宋_GB2312"/>
          <w:b w:val="0"/>
          <w:bCs w:val="0"/>
          <w:color w:val="auto"/>
          <w:sz w:val="28"/>
          <w:szCs w:val="28"/>
          <w:lang w:eastAsia="zh-CN"/>
        </w:rPr>
        <w:t>（1）具有动物学、生态学、野生动植物保护、林业等相关专业高级专业技术职称；</w:t>
      </w:r>
    </w:p>
    <w:p>
      <w:pPr>
        <w:pageBreakBefore w:val="0"/>
        <w:widowControl/>
        <w:kinsoku/>
        <w:wordWrap/>
        <w:overflowPunct/>
        <w:topLinePunct w:val="0"/>
        <w:autoSpaceDE/>
        <w:autoSpaceDN/>
        <w:bidi w:val="0"/>
        <w:spacing w:after="0" w:line="460" w:lineRule="exact"/>
        <w:ind w:firstLine="560" w:firstLineChars="200"/>
        <w:textAlignment w:val="auto"/>
        <w:rPr>
          <w:rFonts w:hint="eastAsia" w:ascii="仿宋_GB2312" w:hAnsi="仿宋_GB2312" w:eastAsia="仿宋_GB2312" w:cs="仿宋_GB2312"/>
          <w:b w:val="0"/>
          <w:bCs w:val="0"/>
          <w:color w:val="auto"/>
          <w:sz w:val="28"/>
          <w:szCs w:val="28"/>
          <w:lang w:eastAsia="zh-CN"/>
        </w:rPr>
      </w:pPr>
      <w:r>
        <w:rPr>
          <w:rFonts w:hint="eastAsia" w:ascii="仿宋_GB2312" w:hAnsi="仿宋_GB2312" w:eastAsia="仿宋_GB2312" w:cs="仿宋_GB2312"/>
          <w:b w:val="0"/>
          <w:bCs w:val="0"/>
          <w:color w:val="auto"/>
          <w:sz w:val="28"/>
          <w:szCs w:val="28"/>
          <w:lang w:eastAsia="zh-CN"/>
        </w:rPr>
        <w:t>（2）具有5年以上野生动物资源调查相关工作经验；</w:t>
      </w:r>
    </w:p>
    <w:p>
      <w:pPr>
        <w:pageBreakBefore w:val="0"/>
        <w:widowControl/>
        <w:kinsoku/>
        <w:wordWrap/>
        <w:overflowPunct/>
        <w:topLinePunct w:val="0"/>
        <w:autoSpaceDE/>
        <w:autoSpaceDN/>
        <w:bidi w:val="0"/>
        <w:spacing w:after="0" w:line="460" w:lineRule="exact"/>
        <w:ind w:firstLine="560" w:firstLineChars="200"/>
        <w:textAlignment w:val="auto"/>
        <w:rPr>
          <w:rFonts w:hint="eastAsia" w:ascii="仿宋_GB2312" w:hAnsi="仿宋_GB2312" w:eastAsia="仿宋_GB2312" w:cs="仿宋_GB2312"/>
          <w:b w:val="0"/>
          <w:bCs w:val="0"/>
          <w:color w:val="auto"/>
          <w:sz w:val="28"/>
          <w:szCs w:val="28"/>
          <w:lang w:eastAsia="zh-CN"/>
        </w:rPr>
      </w:pPr>
      <w:r>
        <w:rPr>
          <w:rFonts w:hint="eastAsia" w:ascii="仿宋_GB2312" w:hAnsi="仿宋_GB2312" w:eastAsia="仿宋_GB2312" w:cs="仿宋_GB2312"/>
          <w:b w:val="0"/>
          <w:bCs w:val="0"/>
          <w:color w:val="auto"/>
          <w:sz w:val="28"/>
          <w:szCs w:val="28"/>
          <w:lang w:eastAsia="zh-CN"/>
        </w:rPr>
        <w:t>3.同类业绩要求：供应商近三年内承担过野生动物调查、外来入侵物种调查、生物多样性本底调查、湿地生态调查或有害生物监测预警类项目，须提供合同及验收（成果）证明。</w:t>
      </w:r>
    </w:p>
    <w:p>
      <w:pPr>
        <w:pageBreakBefore w:val="0"/>
        <w:widowControl/>
        <w:kinsoku/>
        <w:wordWrap/>
        <w:overflowPunct/>
        <w:topLinePunct w:val="0"/>
        <w:autoSpaceDE/>
        <w:autoSpaceDN/>
        <w:bidi w:val="0"/>
        <w:spacing w:after="0" w:line="460" w:lineRule="exact"/>
        <w:ind w:firstLine="560" w:firstLineChars="200"/>
        <w:textAlignment w:val="auto"/>
        <w:rPr>
          <w:rFonts w:hint="eastAsia" w:ascii="仿宋_GB2312" w:hAnsi="仿宋_GB2312" w:eastAsia="仿宋_GB2312" w:cs="仿宋_GB2312"/>
          <w:b w:val="0"/>
          <w:bCs w:val="0"/>
          <w:color w:val="auto"/>
          <w:sz w:val="28"/>
          <w:szCs w:val="28"/>
          <w:lang w:eastAsia="zh-CN"/>
        </w:rPr>
      </w:pPr>
      <w:r>
        <w:rPr>
          <w:rFonts w:hint="eastAsia" w:ascii="仿宋_GB2312" w:hAnsi="仿宋_GB2312" w:eastAsia="仿宋_GB2312" w:cs="仿宋_GB2312"/>
          <w:b w:val="0"/>
          <w:bCs w:val="0"/>
          <w:color w:val="auto"/>
          <w:sz w:val="28"/>
          <w:szCs w:val="28"/>
          <w:lang w:eastAsia="zh-CN"/>
        </w:rPr>
        <w:t>4.本项目不接受联合体投标。</w:t>
      </w:r>
    </w:p>
    <w:p>
      <w:pPr>
        <w:pStyle w:val="3"/>
        <w:pageBreakBefore w:val="0"/>
        <w:widowControl/>
        <w:kinsoku/>
        <w:wordWrap/>
        <w:overflowPunct/>
        <w:topLinePunct w:val="0"/>
        <w:autoSpaceDE/>
        <w:autoSpaceDN/>
        <w:bidi w:val="0"/>
        <w:spacing w:before="0" w:after="0" w:line="460" w:lineRule="exact"/>
        <w:ind w:firstLine="560" w:firstLineChars="200"/>
        <w:textAlignment w:val="auto"/>
        <w:rPr>
          <w:rFonts w:hint="eastAsia" w:ascii="楷体_GB2312" w:hAnsi="楷体_GB2312" w:eastAsia="楷体_GB2312" w:cs="楷体_GB2312"/>
          <w:b w:val="0"/>
          <w:bCs w:val="0"/>
          <w:sz w:val="28"/>
          <w:szCs w:val="28"/>
          <w:lang w:eastAsia="zh-CN"/>
        </w:rPr>
      </w:pPr>
      <w:bookmarkStart w:id="10" w:name="_Toc239067551"/>
      <w:r>
        <w:rPr>
          <w:rFonts w:hint="eastAsia" w:ascii="黑体" w:hAnsi="黑体" w:eastAsia="黑体" w:cs="黑体"/>
          <w:b w:val="0"/>
          <w:bCs w:val="0"/>
          <w:sz w:val="28"/>
          <w:szCs w:val="28"/>
          <w:lang w:val="en-US" w:eastAsia="zh-CN"/>
        </w:rPr>
        <w:t>三</w:t>
      </w:r>
      <w:r>
        <w:rPr>
          <w:rFonts w:hint="eastAsia" w:ascii="黑体" w:hAnsi="黑体" w:eastAsia="黑体" w:cs="黑体"/>
          <w:b w:val="0"/>
          <w:bCs w:val="0"/>
          <w:sz w:val="28"/>
          <w:szCs w:val="28"/>
          <w:lang w:eastAsia="zh-CN"/>
        </w:rPr>
        <w:t>、</w:t>
      </w:r>
      <w:bookmarkEnd w:id="10"/>
      <w:r>
        <w:rPr>
          <w:rFonts w:hint="eastAsia" w:ascii="黑体" w:hAnsi="黑体" w:eastAsia="黑体" w:cs="黑体"/>
          <w:b w:val="0"/>
          <w:bCs w:val="0"/>
          <w:sz w:val="28"/>
          <w:szCs w:val="28"/>
          <w:lang w:eastAsia="zh-CN"/>
        </w:rPr>
        <w:t>评分标准</w:t>
      </w:r>
    </w:p>
    <w:tbl>
      <w:tblPr>
        <w:tblStyle w:val="39"/>
        <w:tblW w:w="91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1"/>
        <w:gridCol w:w="75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1621" w:type="dxa"/>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ascii="仿宋_GB2312" w:hAnsi="宋体" w:eastAsia="仿宋_GB2312"/>
                <w:b/>
                <w:bCs/>
                <w:color w:val="auto"/>
                <w:kern w:val="0"/>
                <w:sz w:val="24"/>
                <w:szCs w:val="24"/>
              </w:rPr>
            </w:pPr>
            <w:r>
              <w:rPr>
                <w:rFonts w:hint="eastAsia" w:ascii="仿宋_GB2312" w:hAnsi="宋体" w:eastAsia="仿宋_GB2312"/>
                <w:b/>
                <w:bCs/>
                <w:color w:val="auto"/>
                <w:kern w:val="0"/>
                <w:sz w:val="24"/>
                <w:szCs w:val="24"/>
              </w:rPr>
              <w:t>项目名称</w:t>
            </w:r>
          </w:p>
        </w:tc>
        <w:tc>
          <w:tcPr>
            <w:tcW w:w="7504" w:type="dxa"/>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仿宋_GB2312" w:hAnsi="宋体" w:eastAsia="仿宋_GB2312"/>
                <w:b/>
                <w:bCs/>
                <w:color w:val="auto"/>
                <w:kern w:val="0"/>
                <w:sz w:val="24"/>
                <w:szCs w:val="24"/>
                <w:lang w:eastAsia="zh-CN"/>
              </w:rPr>
            </w:pPr>
            <w:r>
              <w:rPr>
                <w:rFonts w:hint="eastAsia" w:ascii="仿宋_GB2312" w:hAnsi="宋体" w:eastAsia="仿宋_GB2312"/>
                <w:b/>
                <w:bCs/>
                <w:color w:val="auto"/>
                <w:kern w:val="0"/>
                <w:sz w:val="24"/>
                <w:szCs w:val="24"/>
                <w:lang w:eastAsia="zh-CN"/>
              </w:rPr>
              <w:t>海狸鼠专项监测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1621" w:type="dxa"/>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ascii="仿宋_GB2312" w:hAnsi="宋体" w:eastAsia="仿宋_GB2312"/>
                <w:b/>
                <w:bCs/>
                <w:color w:val="auto"/>
                <w:kern w:val="0"/>
                <w:sz w:val="24"/>
                <w:szCs w:val="24"/>
              </w:rPr>
            </w:pPr>
            <w:r>
              <w:rPr>
                <w:rFonts w:hint="eastAsia" w:ascii="仿宋_GB2312" w:hAnsi="宋体" w:eastAsia="仿宋_GB2312"/>
                <w:b/>
                <w:bCs/>
                <w:color w:val="auto"/>
                <w:kern w:val="0"/>
                <w:sz w:val="24"/>
                <w:szCs w:val="24"/>
              </w:rPr>
              <w:t>指标及分值</w:t>
            </w:r>
          </w:p>
        </w:tc>
        <w:tc>
          <w:tcPr>
            <w:tcW w:w="7504" w:type="dxa"/>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ascii="仿宋_GB2312" w:hAnsi="宋体" w:eastAsia="仿宋_GB2312"/>
                <w:b/>
                <w:bCs/>
                <w:color w:val="auto"/>
                <w:kern w:val="0"/>
                <w:sz w:val="24"/>
                <w:szCs w:val="24"/>
              </w:rPr>
            </w:pPr>
            <w:r>
              <w:rPr>
                <w:rFonts w:hint="eastAsia" w:ascii="仿宋_GB2312" w:hAnsi="宋体" w:eastAsia="仿宋_GB2312"/>
                <w:b/>
                <w:bCs/>
                <w:color w:val="auto"/>
                <w:kern w:val="0"/>
                <w:sz w:val="24"/>
                <w:szCs w:val="24"/>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6" w:hRule="atLeast"/>
          <w:jc w:val="center"/>
        </w:trPr>
        <w:tc>
          <w:tcPr>
            <w:tcW w:w="1621" w:type="dxa"/>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ascii="仿宋_GB2312" w:hAnsi="宋体" w:eastAsia="仿宋_GB2312" w:cs="宋体"/>
                <w:color w:val="auto"/>
                <w:kern w:val="0"/>
                <w:sz w:val="24"/>
                <w:szCs w:val="24"/>
              </w:rPr>
            </w:pPr>
            <w:r>
              <w:rPr>
                <w:rFonts w:hint="eastAsia" w:ascii="仿宋_GB2312" w:hAnsi="宋体" w:eastAsia="仿宋_GB2312" w:cs="宋体"/>
                <w:color w:val="auto"/>
                <w:kern w:val="0"/>
                <w:sz w:val="24"/>
                <w:szCs w:val="24"/>
              </w:rPr>
              <w:t>报价        （</w:t>
            </w:r>
            <w:r>
              <w:rPr>
                <w:rFonts w:hint="eastAsia" w:ascii="仿宋_GB2312" w:hAnsi="宋体" w:eastAsia="仿宋_GB2312" w:cs="宋体"/>
                <w:color w:val="auto"/>
                <w:kern w:val="0"/>
                <w:sz w:val="24"/>
                <w:szCs w:val="24"/>
                <w:lang w:val="en-US" w:eastAsia="zh-CN"/>
              </w:rPr>
              <w:t>25</w:t>
            </w:r>
            <w:r>
              <w:rPr>
                <w:rFonts w:hint="eastAsia" w:ascii="仿宋_GB2312" w:hAnsi="宋体" w:eastAsia="仿宋_GB2312" w:cs="宋体"/>
                <w:color w:val="auto"/>
                <w:kern w:val="0"/>
                <w:sz w:val="24"/>
                <w:szCs w:val="24"/>
              </w:rPr>
              <w:t>分）</w:t>
            </w:r>
          </w:p>
        </w:tc>
        <w:tc>
          <w:tcPr>
            <w:tcW w:w="7504" w:type="dxa"/>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满足采购文件要求且价格最低的最终报价为评审基准价，得</w:t>
            </w:r>
            <w:r>
              <w:rPr>
                <w:rFonts w:hint="eastAsia" w:ascii="仿宋_GB2312" w:hAnsi="仿宋_GB2312" w:eastAsia="仿宋_GB2312" w:cs="仿宋_GB2312"/>
                <w:color w:val="auto"/>
                <w:kern w:val="0"/>
                <w:sz w:val="24"/>
                <w:szCs w:val="24"/>
                <w:lang w:val="en-US" w:eastAsia="zh-CN"/>
              </w:rPr>
              <w:t>25</w:t>
            </w:r>
            <w:r>
              <w:rPr>
                <w:rFonts w:hint="eastAsia" w:ascii="仿宋_GB2312" w:hAnsi="仿宋_GB2312" w:eastAsia="仿宋_GB2312" w:cs="仿宋_GB2312"/>
                <w:color w:val="auto"/>
                <w:kern w:val="0"/>
                <w:sz w:val="24"/>
                <w:szCs w:val="24"/>
              </w:rPr>
              <w:t>分。其他供应商的价格分统一按照下列公式计算：报价得分=</w:t>
            </w:r>
            <w:r>
              <w:rPr>
                <w:rFonts w:hint="eastAsia" w:ascii="仿宋_GB2312" w:hAnsi="仿宋_GB2312" w:eastAsia="仿宋_GB2312" w:cs="仿宋_GB2312"/>
                <w:color w:val="auto"/>
                <w:kern w:val="0"/>
                <w:sz w:val="24"/>
                <w:szCs w:val="24"/>
                <w:lang w:val="en-US" w:eastAsia="zh-CN"/>
              </w:rPr>
              <w:t>25</w:t>
            </w:r>
            <w:r>
              <w:rPr>
                <w:rFonts w:hint="eastAsia" w:ascii="仿宋_GB2312" w:hAnsi="仿宋_GB2312" w:eastAsia="仿宋_GB2312" w:cs="仿宋_GB2312"/>
                <w:color w:val="auto"/>
                <w:kern w:val="0"/>
                <w:sz w:val="24"/>
                <w:szCs w:val="24"/>
              </w:rPr>
              <w:t>×（评审基准价/最终报价）；超过最高限价金额的投标为无效投标；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9" w:hRule="atLeast"/>
          <w:jc w:val="center"/>
        </w:trPr>
        <w:tc>
          <w:tcPr>
            <w:tcW w:w="1621" w:type="dxa"/>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服务方案    （30分）</w:t>
            </w:r>
          </w:p>
        </w:tc>
        <w:tc>
          <w:tcPr>
            <w:tcW w:w="7504" w:type="dxa"/>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根据报价供应商所提供总体服务方案中体现的方案服务内容、服务安排、重点分析等响应情况给予评价。总体服务方案完善，思路明确完全符合招标文件要求为好（21-30分）；总体服务方案简单，基本能满足招标文件要求为一般（11-20分）；总体服务方案不明确，不能满足招标文件要求为差（1-10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4" w:hRule="atLeast"/>
          <w:jc w:val="center"/>
        </w:trPr>
        <w:tc>
          <w:tcPr>
            <w:tcW w:w="1621" w:type="dxa"/>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sz w:val="24"/>
                <w:szCs w:val="24"/>
              </w:rPr>
              <w:t>进度计划保证（15分）</w:t>
            </w:r>
          </w:p>
        </w:tc>
        <w:tc>
          <w:tcPr>
            <w:tcW w:w="7504" w:type="dxa"/>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sz w:val="24"/>
                <w:szCs w:val="24"/>
              </w:rPr>
              <w:t>根</w:t>
            </w:r>
            <w:r>
              <w:rPr>
                <w:rFonts w:hint="eastAsia" w:ascii="仿宋_GB2312" w:hAnsi="仿宋_GB2312" w:eastAsia="仿宋_GB2312" w:cs="仿宋_GB2312"/>
                <w:color w:val="auto"/>
                <w:kern w:val="0"/>
                <w:sz w:val="24"/>
                <w:szCs w:val="24"/>
              </w:rPr>
              <w:t>据服务期响应采购文件要求的程度；进度计划是否合理；总进度及计划服务期限的控制措施是否得力进行综合评审。进度计划保证措施及时、有效、可操作性得11-16分；进度计划保证措施基本满足采购需求得6-10分；进度计划保证措施无法满足采购需求或不符合项目实际情况得1-5分；未提供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2" w:hRule="atLeast"/>
          <w:jc w:val="center"/>
        </w:trPr>
        <w:tc>
          <w:tcPr>
            <w:tcW w:w="1621" w:type="dxa"/>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仿宋_GB2312" w:hAnsi="宋体" w:eastAsia="仿宋_GB2312" w:cs="宋体"/>
                <w:color w:val="auto"/>
                <w:kern w:val="0"/>
                <w:sz w:val="24"/>
                <w:szCs w:val="24"/>
              </w:rPr>
            </w:pPr>
            <w:r>
              <w:rPr>
                <w:rFonts w:hint="eastAsia" w:ascii="仿宋_GB2312" w:hAnsi="宋体" w:eastAsia="仿宋_GB2312" w:cs="宋体"/>
                <w:color w:val="auto"/>
                <w:kern w:val="0"/>
                <w:sz w:val="24"/>
                <w:szCs w:val="24"/>
              </w:rPr>
              <w:t>服务承诺</w:t>
            </w:r>
          </w:p>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仿宋_GB2312" w:hAnsi="宋体" w:eastAsia="仿宋_GB2312" w:cs="宋体"/>
                <w:color w:val="auto"/>
                <w:kern w:val="0"/>
                <w:sz w:val="24"/>
                <w:szCs w:val="24"/>
              </w:rPr>
            </w:pPr>
            <w:r>
              <w:rPr>
                <w:rFonts w:hint="eastAsia" w:ascii="仿宋_GB2312" w:hAnsi="宋体" w:eastAsia="仿宋_GB2312" w:cs="宋体"/>
                <w:color w:val="auto"/>
                <w:kern w:val="0"/>
                <w:sz w:val="24"/>
                <w:szCs w:val="24"/>
              </w:rPr>
              <w:t>（8分）</w:t>
            </w:r>
          </w:p>
        </w:tc>
        <w:tc>
          <w:tcPr>
            <w:tcW w:w="7504" w:type="dxa"/>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根据投标人提供的质量保证措施、档案管理及数据保密措施合理是否详尽、准确、针对性和可行性综合评审。服务承诺措施合理、详尽、准确、针对性和可行性强的，得6-8分；内容基本合理可行的得3-5分；措施不全面或合理可行性有欠缺的，得1-2分。未提供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8" w:hRule="atLeast"/>
          <w:jc w:val="center"/>
        </w:trPr>
        <w:tc>
          <w:tcPr>
            <w:tcW w:w="1621" w:type="dxa"/>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color w:val="auto"/>
                <w:spacing w:val="20"/>
                <w:kern w:val="0"/>
                <w:sz w:val="24"/>
                <w:szCs w:val="24"/>
              </w:rPr>
            </w:pPr>
            <w:r>
              <w:rPr>
                <w:rFonts w:hint="eastAsia" w:ascii="仿宋_GB2312" w:hAnsi="仿宋_GB2312" w:eastAsia="仿宋_GB2312" w:cs="仿宋_GB2312"/>
                <w:color w:val="auto"/>
                <w:spacing w:val="20"/>
                <w:kern w:val="0"/>
                <w:sz w:val="24"/>
                <w:szCs w:val="24"/>
              </w:rPr>
              <w:t>项目负责人</w:t>
            </w:r>
          </w:p>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仿宋_GB2312" w:hAnsi="宋体" w:eastAsia="仿宋_GB2312" w:cs="宋体"/>
                <w:color w:val="auto"/>
                <w:kern w:val="0"/>
                <w:sz w:val="24"/>
                <w:szCs w:val="24"/>
              </w:rPr>
            </w:pPr>
            <w:r>
              <w:rPr>
                <w:rFonts w:hint="eastAsia" w:ascii="仿宋_GB2312" w:hAnsi="仿宋_GB2312" w:eastAsia="仿宋_GB2312" w:cs="仿宋_GB2312"/>
                <w:color w:val="auto"/>
                <w:spacing w:val="20"/>
                <w:kern w:val="0"/>
                <w:sz w:val="24"/>
                <w:szCs w:val="24"/>
              </w:rPr>
              <w:t>（6分）</w:t>
            </w:r>
          </w:p>
        </w:tc>
        <w:tc>
          <w:tcPr>
            <w:tcW w:w="7504" w:type="dxa"/>
            <w:noWrap w:val="0"/>
            <w:vAlign w:val="center"/>
          </w:tcPr>
          <w:p>
            <w:pPr>
              <w:pStyle w:val="34"/>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ascii="仿宋_GB2312" w:hAnsi="仿宋_GB2312" w:eastAsia="仿宋_GB2312" w:cs="仿宋_GB2312"/>
                <w:color w:val="auto"/>
                <w:sz w:val="24"/>
                <w:szCs w:val="24"/>
              </w:rPr>
            </w:pPr>
            <w:r>
              <w:rPr>
                <w:rFonts w:ascii="仿宋_GB2312" w:hAnsi="仿宋_GB2312" w:eastAsia="仿宋_GB2312" w:cs="仿宋_GB2312"/>
                <w:color w:val="auto"/>
                <w:sz w:val="24"/>
                <w:szCs w:val="24"/>
              </w:rPr>
              <w:t>项目负责人从业经验丰富、专业背景强、具备类似组织经验的，</w:t>
            </w:r>
            <w:r>
              <w:rPr>
                <w:rFonts w:hint="eastAsia" w:ascii="仿宋_GB2312" w:hAnsi="仿宋_GB2312" w:eastAsia="仿宋_GB2312" w:cs="仿宋_GB2312"/>
                <w:color w:val="auto"/>
                <w:sz w:val="24"/>
                <w:szCs w:val="24"/>
                <w:lang w:eastAsia="zh-CN"/>
              </w:rPr>
              <w:t>符合采购要求的</w:t>
            </w:r>
            <w:r>
              <w:rPr>
                <w:rFonts w:ascii="仿宋_GB2312" w:hAnsi="仿宋_GB2312" w:eastAsia="仿宋_GB2312" w:cs="仿宋_GB2312"/>
                <w:color w:val="auto"/>
                <w:sz w:val="24"/>
                <w:szCs w:val="24"/>
              </w:rPr>
              <w:t>得5-6分；负责人专业性或经验方面有欠缺的，得3-4分；负责人专业性或经验方面与本项目偏离较大的，得1-2分；未说明的不得分。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8" w:hRule="atLeast"/>
          <w:jc w:val="center"/>
        </w:trPr>
        <w:tc>
          <w:tcPr>
            <w:tcW w:w="1621" w:type="dxa"/>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仿宋_GB2312" w:hAnsi="宋体" w:eastAsia="仿宋_GB2312" w:cs="宋体"/>
                <w:color w:val="auto"/>
                <w:kern w:val="0"/>
                <w:sz w:val="24"/>
                <w:szCs w:val="24"/>
              </w:rPr>
            </w:pPr>
            <w:r>
              <w:rPr>
                <w:rFonts w:hint="eastAsia" w:ascii="仿宋_GB2312" w:hAnsi="宋体" w:eastAsia="仿宋_GB2312" w:cs="宋体"/>
                <w:color w:val="auto"/>
                <w:kern w:val="0"/>
                <w:sz w:val="24"/>
                <w:szCs w:val="24"/>
              </w:rPr>
              <w:t>人员配备   （10分）</w:t>
            </w:r>
          </w:p>
        </w:tc>
        <w:tc>
          <w:tcPr>
            <w:tcW w:w="7504" w:type="dxa"/>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针对本项目团队配置经验等进行评审。项目团队组织结构合理，小组分工明确，配备合理，经验丰富的得9-10分；项目组织结构较合理，小组分工较明确，配备较合理，经验较丰富的得6-8分；有简单的组织架构和分工，经验一般的得3-5分；人员配置缺漏，经验不足的得1-2分；未提供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3" w:hRule="atLeast"/>
          <w:jc w:val="center"/>
        </w:trPr>
        <w:tc>
          <w:tcPr>
            <w:tcW w:w="1621" w:type="dxa"/>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仿宋_GB2312" w:hAnsi="宋体" w:eastAsia="仿宋_GB2312" w:cs="宋体"/>
                <w:color w:val="auto"/>
                <w:kern w:val="0"/>
                <w:sz w:val="24"/>
                <w:szCs w:val="24"/>
              </w:rPr>
            </w:pPr>
            <w:r>
              <w:rPr>
                <w:rFonts w:hint="eastAsia" w:ascii="仿宋_GB2312" w:hAnsi="宋体" w:eastAsia="仿宋_GB2312" w:cs="宋体"/>
                <w:color w:val="auto"/>
                <w:kern w:val="0"/>
                <w:sz w:val="24"/>
                <w:szCs w:val="24"/>
              </w:rPr>
              <w:t>相关业绩</w:t>
            </w:r>
          </w:p>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仿宋_GB2312" w:hAnsi="宋体" w:eastAsia="仿宋_GB2312" w:cs="宋体"/>
                <w:color w:val="auto"/>
                <w:kern w:val="0"/>
                <w:sz w:val="24"/>
                <w:szCs w:val="24"/>
              </w:rPr>
            </w:pPr>
            <w:r>
              <w:rPr>
                <w:rFonts w:hint="eastAsia" w:ascii="仿宋_GB2312" w:hAnsi="宋体" w:eastAsia="仿宋_GB2312" w:cs="宋体"/>
                <w:color w:val="auto"/>
                <w:kern w:val="0"/>
                <w:sz w:val="24"/>
                <w:szCs w:val="24"/>
              </w:rPr>
              <w:t>（6分）</w:t>
            </w:r>
          </w:p>
        </w:tc>
        <w:tc>
          <w:tcPr>
            <w:tcW w:w="7504" w:type="dxa"/>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rPr>
              <w:t>投标截至日前三年内类似业绩（具体时间以合同签订日期、合同履约期限、中标通知书落款日期为准，未注明日期或者不清楚则不予计取，须有双方公章）每提供1个得1分，满分6分，未提供的得0分。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9125" w:type="dxa"/>
            <w:gridSpan w:val="2"/>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ascii="仿宋_GB2312" w:hAnsi="宋体" w:eastAsia="仿宋_GB2312"/>
                <w:color w:val="auto"/>
                <w:kern w:val="0"/>
                <w:sz w:val="24"/>
                <w:szCs w:val="24"/>
              </w:rPr>
            </w:pPr>
            <w:r>
              <w:rPr>
                <w:rFonts w:hint="eastAsia" w:ascii="仿宋_GB2312" w:hAnsi="宋体" w:eastAsia="仿宋_GB2312"/>
                <w:color w:val="auto"/>
                <w:kern w:val="0"/>
                <w:sz w:val="24"/>
                <w:szCs w:val="24"/>
              </w:rPr>
              <w:t>综合评定分数（100分）</w:t>
            </w:r>
          </w:p>
        </w:tc>
      </w:tr>
    </w:tbl>
    <w:p>
      <w:pPr>
        <w:pStyle w:val="35"/>
        <w:keepNext w:val="0"/>
        <w:keepLines w:val="0"/>
        <w:pageBreakBefore w:val="0"/>
        <w:widowControl/>
        <w:suppressLineNumbers w:val="0"/>
        <w:kinsoku/>
        <w:wordWrap/>
        <w:overflowPunct/>
        <w:topLinePunct w:val="0"/>
        <w:autoSpaceDE/>
        <w:autoSpaceDN/>
        <w:bidi w:val="0"/>
        <w:adjustRightInd/>
        <w:snapToGrid/>
        <w:spacing w:beforeAutospacing="0" w:afterAutospacing="0" w:line="460" w:lineRule="exact"/>
        <w:ind w:left="0" w:right="0" w:firstLine="560" w:firstLineChars="200"/>
        <w:textAlignment w:val="auto"/>
        <w:rPr>
          <w:rFonts w:hint="eastAsia" w:ascii="仿宋_GB2312" w:hAnsi="仿宋_GB2312" w:eastAsia="仿宋_GB2312" w:cs="仿宋_GB2312"/>
          <w:b w:val="0"/>
          <w:bCs w:val="0"/>
          <w:i w:val="0"/>
          <w:iCs w:val="0"/>
          <w:caps w:val="0"/>
          <w:color w:val="0F1115"/>
          <w:spacing w:val="0"/>
          <w:sz w:val="28"/>
          <w:szCs w:val="28"/>
          <w:shd w:val="clear" w:color="auto" w:fill="FFFFFF"/>
          <w:lang w:val="en-US" w:eastAsia="zh-CN"/>
        </w:rPr>
      </w:pPr>
      <w:r>
        <w:rPr>
          <w:rFonts w:hint="eastAsia" w:ascii="黑体" w:hAnsi="黑体" w:eastAsia="黑体" w:cs="黑体"/>
          <w:b w:val="0"/>
          <w:bCs w:val="0"/>
          <w:sz w:val="28"/>
          <w:szCs w:val="28"/>
          <w:lang w:val="en-US" w:eastAsia="zh-CN"/>
        </w:rPr>
        <w:t>四、</w:t>
      </w:r>
      <w:r>
        <w:rPr>
          <w:rFonts w:hint="eastAsia" w:ascii="仿宋_GB2312" w:hAnsi="仿宋_GB2312" w:eastAsia="仿宋_GB2312" w:cs="仿宋_GB2312"/>
          <w:b/>
          <w:bCs/>
          <w:caps w:val="0"/>
          <w:color w:val="0F1115"/>
          <w:spacing w:val="0"/>
          <w:sz w:val="28"/>
          <w:szCs w:val="28"/>
          <w:shd w:val="clear" w:color="auto" w:fill="FFFFFF"/>
          <w:lang w:eastAsia="zh-CN"/>
        </w:rPr>
        <w:t>其他须知事项</w:t>
      </w:r>
    </w:p>
    <w:p>
      <w:pPr>
        <w:pStyle w:val="35"/>
        <w:keepNext w:val="0"/>
        <w:keepLines w:val="0"/>
        <w:pageBreakBefore w:val="0"/>
        <w:widowControl/>
        <w:suppressLineNumbers w:val="0"/>
        <w:kinsoku/>
        <w:wordWrap/>
        <w:overflowPunct/>
        <w:topLinePunct w:val="0"/>
        <w:autoSpaceDE/>
        <w:autoSpaceDN/>
        <w:bidi w:val="0"/>
        <w:adjustRightInd/>
        <w:snapToGrid/>
        <w:spacing w:beforeAutospacing="0" w:afterAutospacing="0" w:line="460" w:lineRule="exact"/>
        <w:ind w:right="0" w:firstLine="560" w:firstLineChars="200"/>
        <w:textAlignment w:val="auto"/>
        <w:rPr>
          <w:rFonts w:hint="eastAsia" w:ascii="仿宋_GB2312" w:hAnsi="仿宋_GB2312" w:eastAsia="仿宋_GB2312" w:cs="仿宋_GB2312"/>
          <w:b w:val="0"/>
          <w:bCs w:val="0"/>
          <w:i w:val="0"/>
          <w:iCs w:val="0"/>
          <w:caps w:val="0"/>
          <w:color w:val="0F1115"/>
          <w:spacing w:val="0"/>
          <w:sz w:val="28"/>
          <w:szCs w:val="28"/>
          <w:shd w:val="clear" w:color="auto" w:fill="FFFFFF"/>
          <w:lang w:val="en-US" w:eastAsia="zh-CN"/>
        </w:rPr>
      </w:pPr>
      <w:r>
        <w:rPr>
          <w:rFonts w:hint="eastAsia" w:ascii="仿宋_GB2312" w:hAnsi="仿宋_GB2312" w:eastAsia="仿宋_GB2312" w:cs="仿宋_GB2312"/>
          <w:b w:val="0"/>
          <w:bCs w:val="0"/>
          <w:i w:val="0"/>
          <w:iCs w:val="0"/>
          <w:caps w:val="0"/>
          <w:color w:val="0F1115"/>
          <w:spacing w:val="0"/>
          <w:sz w:val="28"/>
          <w:szCs w:val="28"/>
          <w:shd w:val="clear" w:color="auto" w:fill="FFFFFF"/>
          <w:lang w:val="en-US" w:eastAsia="zh-CN"/>
        </w:rPr>
        <w:t>异常低价的甄别</w:t>
      </w:r>
    </w:p>
    <w:p>
      <w:pPr>
        <w:pStyle w:val="35"/>
        <w:keepNext w:val="0"/>
        <w:keepLines w:val="0"/>
        <w:pageBreakBefore w:val="0"/>
        <w:widowControl/>
        <w:suppressLineNumbers w:val="0"/>
        <w:kinsoku/>
        <w:wordWrap/>
        <w:overflowPunct/>
        <w:topLinePunct w:val="0"/>
        <w:autoSpaceDE/>
        <w:autoSpaceDN/>
        <w:bidi w:val="0"/>
        <w:adjustRightInd/>
        <w:snapToGrid/>
        <w:spacing w:beforeAutospacing="0" w:afterAutospacing="0" w:line="460" w:lineRule="exact"/>
        <w:ind w:right="0" w:firstLine="560" w:firstLineChars="200"/>
        <w:textAlignment w:val="auto"/>
        <w:rPr>
          <w:rFonts w:hint="eastAsia" w:ascii="仿宋_GB2312" w:hAnsi="仿宋_GB2312" w:eastAsia="仿宋_GB2312" w:cs="仿宋_GB2312"/>
          <w:b w:val="0"/>
          <w:bCs w:val="0"/>
          <w:i w:val="0"/>
          <w:iCs w:val="0"/>
          <w:caps w:val="0"/>
          <w:color w:val="0F1115"/>
          <w:spacing w:val="0"/>
          <w:sz w:val="28"/>
          <w:szCs w:val="28"/>
          <w:shd w:val="clear" w:color="auto" w:fill="FFFFFF"/>
          <w:lang w:val="en-US" w:eastAsia="zh-CN"/>
        </w:rPr>
      </w:pPr>
      <w:r>
        <w:rPr>
          <w:rFonts w:hint="eastAsia" w:ascii="仿宋_GB2312" w:hAnsi="仿宋_GB2312" w:eastAsia="仿宋_GB2312" w:cs="仿宋_GB2312"/>
          <w:b w:val="0"/>
          <w:bCs w:val="0"/>
          <w:i w:val="0"/>
          <w:iCs w:val="0"/>
          <w:caps w:val="0"/>
          <w:color w:val="0F1115"/>
          <w:spacing w:val="0"/>
          <w:sz w:val="28"/>
          <w:szCs w:val="28"/>
          <w:shd w:val="clear" w:color="auto" w:fill="FFFFFF"/>
          <w:lang w:val="en-US" w:eastAsia="zh-CN"/>
        </w:rPr>
        <w:t>投标（响应）报价出现下列情形之一的，采购方启动异常低价投标（响应）审查程序：</w:t>
      </w:r>
    </w:p>
    <w:p>
      <w:pPr>
        <w:pStyle w:val="35"/>
        <w:keepNext w:val="0"/>
        <w:keepLines w:val="0"/>
        <w:pageBreakBefore w:val="0"/>
        <w:widowControl/>
        <w:suppressLineNumbers w:val="0"/>
        <w:kinsoku/>
        <w:wordWrap/>
        <w:overflowPunct/>
        <w:topLinePunct w:val="0"/>
        <w:autoSpaceDE/>
        <w:autoSpaceDN/>
        <w:bidi w:val="0"/>
        <w:adjustRightInd/>
        <w:snapToGrid/>
        <w:spacing w:beforeAutospacing="0" w:afterAutospacing="0" w:line="460" w:lineRule="exact"/>
        <w:ind w:right="0" w:firstLine="560" w:firstLineChars="200"/>
        <w:textAlignment w:val="auto"/>
        <w:rPr>
          <w:rFonts w:hint="eastAsia" w:ascii="仿宋_GB2312" w:hAnsi="仿宋_GB2312" w:eastAsia="仿宋_GB2312" w:cs="仿宋_GB2312"/>
          <w:b w:val="0"/>
          <w:bCs w:val="0"/>
          <w:i w:val="0"/>
          <w:iCs w:val="0"/>
          <w:caps w:val="0"/>
          <w:color w:val="0F1115"/>
          <w:spacing w:val="0"/>
          <w:sz w:val="28"/>
          <w:szCs w:val="28"/>
          <w:shd w:val="clear" w:color="auto" w:fill="FFFFFF"/>
          <w:lang w:val="en-US" w:eastAsia="zh-CN"/>
        </w:rPr>
      </w:pPr>
      <w:r>
        <w:rPr>
          <w:rFonts w:hint="eastAsia" w:ascii="仿宋_GB2312" w:hAnsi="仿宋_GB2312" w:eastAsia="仿宋_GB2312" w:cs="仿宋_GB2312"/>
          <w:b w:val="0"/>
          <w:bCs w:val="0"/>
          <w:i w:val="0"/>
          <w:iCs w:val="0"/>
          <w:caps w:val="0"/>
          <w:color w:val="0F1115"/>
          <w:spacing w:val="0"/>
          <w:sz w:val="28"/>
          <w:szCs w:val="28"/>
          <w:shd w:val="clear" w:color="auto" w:fill="FFFFFF"/>
          <w:lang w:val="en-US" w:eastAsia="zh-CN"/>
        </w:rPr>
        <w:t>①投标（响应）报价低于全部通过符合性审查供应商投标（响应）报价平均值50%的，即投标（响应）报价&lt;全部通过符合性审查供应商投标（响应）报价平均值×50%；</w:t>
      </w:r>
    </w:p>
    <w:p>
      <w:pPr>
        <w:pStyle w:val="35"/>
        <w:keepNext w:val="0"/>
        <w:keepLines w:val="0"/>
        <w:pageBreakBefore w:val="0"/>
        <w:widowControl/>
        <w:suppressLineNumbers w:val="0"/>
        <w:kinsoku/>
        <w:wordWrap/>
        <w:overflowPunct/>
        <w:topLinePunct w:val="0"/>
        <w:autoSpaceDE/>
        <w:autoSpaceDN/>
        <w:bidi w:val="0"/>
        <w:adjustRightInd/>
        <w:snapToGrid/>
        <w:spacing w:beforeAutospacing="0" w:afterAutospacing="0" w:line="460" w:lineRule="exact"/>
        <w:ind w:right="0" w:firstLine="560" w:firstLineChars="200"/>
        <w:textAlignment w:val="auto"/>
        <w:rPr>
          <w:rFonts w:hint="eastAsia" w:ascii="仿宋_GB2312" w:hAnsi="仿宋_GB2312" w:eastAsia="仿宋_GB2312" w:cs="仿宋_GB2312"/>
          <w:b w:val="0"/>
          <w:bCs w:val="0"/>
          <w:i w:val="0"/>
          <w:iCs w:val="0"/>
          <w:caps w:val="0"/>
          <w:color w:val="0F1115"/>
          <w:spacing w:val="0"/>
          <w:sz w:val="28"/>
          <w:szCs w:val="28"/>
          <w:shd w:val="clear" w:color="auto" w:fill="FFFFFF"/>
          <w:lang w:val="en-US" w:eastAsia="zh-CN"/>
        </w:rPr>
      </w:pPr>
      <w:r>
        <w:rPr>
          <w:rFonts w:hint="eastAsia" w:ascii="仿宋_GB2312" w:hAnsi="仿宋_GB2312" w:eastAsia="仿宋_GB2312" w:cs="仿宋_GB2312"/>
          <w:b w:val="0"/>
          <w:bCs w:val="0"/>
          <w:i w:val="0"/>
          <w:iCs w:val="0"/>
          <w:caps w:val="0"/>
          <w:color w:val="0F1115"/>
          <w:spacing w:val="0"/>
          <w:sz w:val="28"/>
          <w:szCs w:val="28"/>
          <w:shd w:val="clear" w:color="auto" w:fill="FFFFFF"/>
          <w:lang w:val="en-US" w:eastAsia="zh-CN"/>
        </w:rPr>
        <w:t>②投标（响应）报价低于通过符合性审查的次低报价供应商投标（响应）报价50%的，即投标（响应）报价&lt;通过符合性审查的次低报价供应商投标（响应）报价×50%；</w:t>
      </w:r>
    </w:p>
    <w:p>
      <w:pPr>
        <w:pStyle w:val="35"/>
        <w:keepNext w:val="0"/>
        <w:keepLines w:val="0"/>
        <w:pageBreakBefore w:val="0"/>
        <w:widowControl/>
        <w:suppressLineNumbers w:val="0"/>
        <w:kinsoku/>
        <w:wordWrap/>
        <w:overflowPunct/>
        <w:topLinePunct w:val="0"/>
        <w:autoSpaceDE/>
        <w:autoSpaceDN/>
        <w:bidi w:val="0"/>
        <w:adjustRightInd/>
        <w:snapToGrid/>
        <w:spacing w:beforeAutospacing="0" w:afterAutospacing="0" w:line="460" w:lineRule="exact"/>
        <w:ind w:right="0" w:firstLine="560" w:firstLineChars="200"/>
        <w:textAlignment w:val="auto"/>
        <w:rPr>
          <w:rFonts w:hint="eastAsia" w:ascii="仿宋_GB2312" w:hAnsi="仿宋_GB2312" w:eastAsia="仿宋_GB2312" w:cs="仿宋_GB2312"/>
          <w:b w:val="0"/>
          <w:bCs w:val="0"/>
          <w:i w:val="0"/>
          <w:iCs w:val="0"/>
          <w:caps w:val="0"/>
          <w:color w:val="0F1115"/>
          <w:spacing w:val="0"/>
          <w:sz w:val="28"/>
          <w:szCs w:val="28"/>
          <w:shd w:val="clear" w:color="auto" w:fill="FFFFFF"/>
          <w:lang w:val="en-US" w:eastAsia="zh-CN"/>
        </w:rPr>
      </w:pPr>
      <w:r>
        <w:rPr>
          <w:rFonts w:hint="eastAsia" w:ascii="仿宋_GB2312" w:hAnsi="仿宋_GB2312" w:eastAsia="仿宋_GB2312" w:cs="仿宋_GB2312"/>
          <w:b w:val="0"/>
          <w:bCs w:val="0"/>
          <w:i w:val="0"/>
          <w:iCs w:val="0"/>
          <w:caps w:val="0"/>
          <w:color w:val="0F1115"/>
          <w:spacing w:val="0"/>
          <w:sz w:val="28"/>
          <w:szCs w:val="28"/>
          <w:shd w:val="clear" w:color="auto" w:fill="FFFFFF"/>
          <w:lang w:val="en-US" w:eastAsia="zh-CN"/>
        </w:rPr>
        <w:t>③投标（响应）报价低于采购项目最高限价45%的，即投标（响应）报价&lt;采购项目最高限价×45%；</w:t>
      </w:r>
    </w:p>
    <w:p>
      <w:pPr>
        <w:pStyle w:val="35"/>
        <w:keepNext w:val="0"/>
        <w:keepLines w:val="0"/>
        <w:pageBreakBefore w:val="0"/>
        <w:widowControl/>
        <w:suppressLineNumbers w:val="0"/>
        <w:kinsoku/>
        <w:wordWrap/>
        <w:overflowPunct/>
        <w:topLinePunct w:val="0"/>
        <w:autoSpaceDE/>
        <w:autoSpaceDN/>
        <w:bidi w:val="0"/>
        <w:adjustRightInd/>
        <w:snapToGrid/>
        <w:spacing w:beforeAutospacing="0" w:afterAutospacing="0" w:line="460" w:lineRule="exact"/>
        <w:ind w:right="0" w:firstLine="560" w:firstLineChars="200"/>
        <w:textAlignment w:val="auto"/>
        <w:rPr>
          <w:rFonts w:hint="eastAsia" w:ascii="仿宋_GB2312" w:hAnsi="仿宋_GB2312" w:eastAsia="仿宋_GB2312" w:cs="仿宋_GB2312"/>
          <w:b w:val="0"/>
          <w:bCs w:val="0"/>
          <w:i w:val="0"/>
          <w:iCs w:val="0"/>
          <w:caps w:val="0"/>
          <w:color w:val="0F1115"/>
          <w:spacing w:val="0"/>
          <w:sz w:val="28"/>
          <w:szCs w:val="28"/>
          <w:shd w:val="clear" w:color="auto" w:fill="FFFFFF"/>
          <w:lang w:val="en-US" w:eastAsia="zh-CN"/>
        </w:rPr>
      </w:pPr>
      <w:r>
        <w:rPr>
          <w:rFonts w:hint="eastAsia" w:ascii="仿宋_GB2312" w:hAnsi="仿宋_GB2312" w:eastAsia="仿宋_GB2312" w:cs="仿宋_GB2312"/>
          <w:b w:val="0"/>
          <w:bCs w:val="0"/>
          <w:i w:val="0"/>
          <w:iCs w:val="0"/>
          <w:caps w:val="0"/>
          <w:color w:val="0F1115"/>
          <w:spacing w:val="0"/>
          <w:sz w:val="28"/>
          <w:szCs w:val="28"/>
          <w:shd w:val="clear" w:color="auto" w:fill="FFFFFF"/>
          <w:lang w:val="en-US" w:eastAsia="zh-CN"/>
        </w:rPr>
        <w:t>④评审委员会基于专业判断，认为供应商报价过低，有可能影响产品质量或者不能诚信履约的其他情形。</w:t>
      </w:r>
    </w:p>
    <w:p>
      <w:pPr>
        <w:pStyle w:val="35"/>
        <w:keepNext w:val="0"/>
        <w:keepLines w:val="0"/>
        <w:pageBreakBefore w:val="0"/>
        <w:widowControl/>
        <w:suppressLineNumbers w:val="0"/>
        <w:kinsoku/>
        <w:wordWrap/>
        <w:overflowPunct/>
        <w:topLinePunct w:val="0"/>
        <w:autoSpaceDE/>
        <w:autoSpaceDN/>
        <w:bidi w:val="0"/>
        <w:adjustRightInd/>
        <w:snapToGrid/>
        <w:spacing w:beforeAutospacing="0" w:afterAutospacing="0" w:line="460" w:lineRule="exact"/>
        <w:ind w:right="0" w:firstLine="560" w:firstLineChars="200"/>
        <w:textAlignment w:val="auto"/>
        <w:rPr>
          <w:rFonts w:hint="eastAsia" w:ascii="仿宋_GB2312" w:hAnsi="仿宋_GB2312" w:eastAsia="仿宋_GB2312" w:cs="仿宋_GB2312"/>
          <w:b w:val="0"/>
          <w:bCs w:val="0"/>
          <w:i w:val="0"/>
          <w:iCs w:val="0"/>
          <w:caps w:val="0"/>
          <w:color w:val="0F1115"/>
          <w:spacing w:val="0"/>
          <w:sz w:val="28"/>
          <w:szCs w:val="28"/>
          <w:shd w:val="clear" w:color="auto" w:fill="FFFFFF"/>
          <w:lang w:val="en-US" w:eastAsia="zh-CN"/>
        </w:rPr>
      </w:pPr>
      <w:r>
        <w:rPr>
          <w:rFonts w:hint="eastAsia" w:ascii="仿宋_GB2312" w:hAnsi="仿宋_GB2312" w:eastAsia="仿宋_GB2312" w:cs="仿宋_GB2312"/>
          <w:b w:val="0"/>
          <w:bCs w:val="0"/>
          <w:i w:val="0"/>
          <w:iCs w:val="0"/>
          <w:caps w:val="0"/>
          <w:color w:val="0F1115"/>
          <w:spacing w:val="0"/>
          <w:sz w:val="28"/>
          <w:szCs w:val="28"/>
          <w:shd w:val="clear" w:color="auto" w:fill="FFFFFF"/>
          <w:lang w:val="en-US" w:eastAsia="zh-CN"/>
        </w:rPr>
        <w:t>甲方启动异常低价投标（响应）审查后，相关供应商自接到评标委员会的澄清要求后30分钟内对投标（响应）价格作出解释，并提供项目具体成本测算等与报价合理性相关的书面说明及必要的证明材料，包括但不限于原材料成本、人工成本、制造费用等。</w:t>
      </w:r>
    </w:p>
    <w:p>
      <w:pPr>
        <w:pStyle w:val="3"/>
        <w:pageBreakBefore w:val="0"/>
        <w:widowControl/>
        <w:kinsoku/>
        <w:wordWrap/>
        <w:overflowPunct/>
        <w:topLinePunct w:val="0"/>
        <w:autoSpaceDE/>
        <w:autoSpaceDN/>
        <w:bidi w:val="0"/>
        <w:spacing w:before="0" w:after="0" w:line="460" w:lineRule="exact"/>
        <w:ind w:firstLine="560" w:firstLineChars="200"/>
        <w:textAlignment w:val="auto"/>
        <w:rPr>
          <w:rFonts w:hint="eastAsia" w:ascii="黑体" w:hAnsi="黑体" w:eastAsia="黑体" w:cs="黑体"/>
          <w:b w:val="0"/>
          <w:bCs w:val="0"/>
          <w:sz w:val="28"/>
          <w:szCs w:val="28"/>
          <w:lang w:val="en-US" w:eastAsia="zh-CN"/>
        </w:rPr>
      </w:pPr>
      <w:r>
        <w:rPr>
          <w:rFonts w:hint="eastAsia" w:ascii="仿宋_GB2312" w:hAnsi="仿宋_GB2312" w:eastAsia="仿宋_GB2312" w:cs="仿宋_GB2312"/>
          <w:b w:val="0"/>
          <w:bCs w:val="0"/>
          <w:i w:val="0"/>
          <w:iCs w:val="0"/>
          <w:caps w:val="0"/>
          <w:color w:val="0F1115"/>
          <w:spacing w:val="0"/>
          <w:sz w:val="28"/>
          <w:szCs w:val="28"/>
          <w:shd w:val="clear" w:color="auto" w:fill="FFFFFF"/>
          <w:lang w:val="en-US" w:eastAsia="zh-CN"/>
        </w:rPr>
        <w:t>采购方会依据专业经验，参考同类项目中标（成交）价格、类似产品</w:t>
      </w:r>
      <w:bookmarkStart w:id="11" w:name="_GoBack"/>
      <w:bookmarkEnd w:id="11"/>
      <w:r>
        <w:rPr>
          <w:rFonts w:hint="eastAsia" w:ascii="仿宋_GB2312" w:hAnsi="仿宋_GB2312" w:eastAsia="仿宋_GB2312" w:cs="仿宋_GB2312"/>
          <w:b w:val="0"/>
          <w:bCs w:val="0"/>
          <w:i w:val="0"/>
          <w:iCs w:val="0"/>
          <w:caps w:val="0"/>
          <w:color w:val="0F1115"/>
          <w:spacing w:val="0"/>
          <w:sz w:val="28"/>
          <w:szCs w:val="28"/>
          <w:shd w:val="clear" w:color="auto" w:fill="FFFFFF"/>
          <w:lang w:val="en-US" w:eastAsia="zh-CN"/>
        </w:rPr>
        <w:t>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pPr>
        <w:keepNext w:val="0"/>
        <w:keepLines w:val="0"/>
        <w:pageBreakBefore w:val="0"/>
        <w:widowControl/>
        <w:shd w:val="clear" w:color="auto" w:fill="FFFFFF"/>
        <w:kinsoku/>
        <w:wordWrap/>
        <w:overflowPunct/>
        <w:topLinePunct w:val="0"/>
        <w:autoSpaceDE/>
        <w:autoSpaceDN/>
        <w:bidi w:val="0"/>
        <w:adjustRightInd w:val="0"/>
        <w:snapToGrid w:val="0"/>
        <w:spacing w:before="100" w:beforeAutospacing="1" w:after="100" w:afterAutospacing="1" w:line="240" w:lineRule="auto"/>
        <w:jc w:val="center"/>
        <w:textAlignment w:val="auto"/>
        <w:rPr>
          <w:rFonts w:hint="eastAsia" w:ascii="宋体" w:hAnsi="宋体" w:eastAsia="宋体"/>
          <w:b/>
          <w:bCs/>
          <w:sz w:val="44"/>
          <w:szCs w:val="36"/>
          <w:lang w:eastAsia="zh-CN"/>
        </w:rPr>
      </w:pPr>
    </w:p>
    <w:p>
      <w:pPr>
        <w:keepNext w:val="0"/>
        <w:keepLines w:val="0"/>
        <w:pageBreakBefore w:val="0"/>
        <w:widowControl/>
        <w:shd w:val="clear" w:color="auto" w:fill="FFFFFF"/>
        <w:kinsoku/>
        <w:wordWrap/>
        <w:overflowPunct/>
        <w:topLinePunct w:val="0"/>
        <w:autoSpaceDE/>
        <w:autoSpaceDN/>
        <w:bidi w:val="0"/>
        <w:adjustRightInd w:val="0"/>
        <w:snapToGrid w:val="0"/>
        <w:spacing w:before="100" w:beforeAutospacing="1" w:after="100" w:afterAutospacing="1" w:line="240" w:lineRule="auto"/>
        <w:jc w:val="center"/>
        <w:textAlignment w:val="auto"/>
        <w:rPr>
          <w:rFonts w:hint="eastAsia" w:ascii="宋体" w:hAnsi="宋体" w:eastAsia="宋体"/>
          <w:b/>
          <w:bCs/>
          <w:sz w:val="44"/>
          <w:szCs w:val="36"/>
          <w:lang w:eastAsia="zh-CN"/>
        </w:rPr>
      </w:pPr>
    </w:p>
    <w:p>
      <w:pPr>
        <w:keepNext w:val="0"/>
        <w:keepLines w:val="0"/>
        <w:pageBreakBefore w:val="0"/>
        <w:widowControl/>
        <w:shd w:val="clear" w:color="auto" w:fill="FFFFFF"/>
        <w:kinsoku/>
        <w:wordWrap/>
        <w:overflowPunct/>
        <w:topLinePunct w:val="0"/>
        <w:autoSpaceDE/>
        <w:autoSpaceDN/>
        <w:bidi w:val="0"/>
        <w:adjustRightInd w:val="0"/>
        <w:snapToGrid w:val="0"/>
        <w:spacing w:before="100" w:beforeAutospacing="1" w:after="100" w:afterAutospacing="1" w:line="240" w:lineRule="auto"/>
        <w:jc w:val="center"/>
        <w:textAlignment w:val="auto"/>
        <w:rPr>
          <w:rFonts w:hint="eastAsia" w:ascii="宋体" w:hAnsi="宋体" w:eastAsia="宋体"/>
          <w:b/>
          <w:bCs/>
          <w:sz w:val="44"/>
          <w:szCs w:val="36"/>
          <w:lang w:eastAsia="zh-CN"/>
        </w:rPr>
      </w:pPr>
    </w:p>
    <w:p>
      <w:pPr>
        <w:keepNext w:val="0"/>
        <w:keepLines w:val="0"/>
        <w:pageBreakBefore w:val="0"/>
        <w:widowControl/>
        <w:shd w:val="clear" w:color="auto" w:fill="FFFFFF"/>
        <w:kinsoku/>
        <w:wordWrap/>
        <w:overflowPunct/>
        <w:topLinePunct w:val="0"/>
        <w:autoSpaceDE/>
        <w:autoSpaceDN/>
        <w:bidi w:val="0"/>
        <w:adjustRightInd w:val="0"/>
        <w:snapToGrid w:val="0"/>
        <w:spacing w:before="100" w:beforeAutospacing="1" w:after="100" w:afterAutospacing="1" w:line="240" w:lineRule="auto"/>
        <w:jc w:val="center"/>
        <w:textAlignment w:val="auto"/>
        <w:rPr>
          <w:rFonts w:hint="eastAsia" w:ascii="宋体" w:hAnsi="宋体" w:eastAsia="宋体"/>
          <w:b/>
          <w:bCs/>
          <w:sz w:val="44"/>
          <w:szCs w:val="36"/>
          <w:lang w:eastAsia="zh-CN"/>
        </w:rPr>
      </w:pPr>
    </w:p>
    <w:p>
      <w:pPr>
        <w:keepNext w:val="0"/>
        <w:keepLines w:val="0"/>
        <w:pageBreakBefore w:val="0"/>
        <w:widowControl/>
        <w:shd w:val="clear" w:color="auto" w:fill="FFFFFF"/>
        <w:kinsoku/>
        <w:wordWrap/>
        <w:overflowPunct/>
        <w:topLinePunct w:val="0"/>
        <w:autoSpaceDE/>
        <w:autoSpaceDN/>
        <w:bidi w:val="0"/>
        <w:adjustRightInd w:val="0"/>
        <w:snapToGrid w:val="0"/>
        <w:spacing w:before="100" w:beforeAutospacing="1" w:after="100" w:afterAutospacing="1" w:line="240" w:lineRule="auto"/>
        <w:jc w:val="center"/>
        <w:textAlignment w:val="auto"/>
        <w:rPr>
          <w:rFonts w:hint="eastAsia" w:ascii="宋体" w:hAnsi="宋体" w:eastAsia="宋体"/>
          <w:b/>
          <w:bCs/>
          <w:sz w:val="44"/>
          <w:szCs w:val="36"/>
          <w:lang w:eastAsia="zh-CN"/>
        </w:rPr>
      </w:pPr>
    </w:p>
    <w:p>
      <w:pPr>
        <w:keepNext w:val="0"/>
        <w:keepLines w:val="0"/>
        <w:pageBreakBefore w:val="0"/>
        <w:widowControl/>
        <w:shd w:val="clear" w:color="auto" w:fill="FFFFFF"/>
        <w:kinsoku/>
        <w:wordWrap/>
        <w:overflowPunct/>
        <w:topLinePunct w:val="0"/>
        <w:autoSpaceDE/>
        <w:autoSpaceDN/>
        <w:bidi w:val="0"/>
        <w:adjustRightInd w:val="0"/>
        <w:snapToGrid w:val="0"/>
        <w:spacing w:before="100" w:beforeAutospacing="1" w:after="100" w:afterAutospacing="1" w:line="240" w:lineRule="auto"/>
        <w:jc w:val="center"/>
        <w:textAlignment w:val="auto"/>
        <w:rPr>
          <w:rFonts w:hint="eastAsia" w:ascii="宋体" w:hAnsi="宋体" w:eastAsia="宋体"/>
          <w:b/>
          <w:bCs/>
          <w:sz w:val="44"/>
          <w:szCs w:val="36"/>
          <w:lang w:eastAsia="zh-CN"/>
        </w:rPr>
      </w:pPr>
    </w:p>
    <w:p>
      <w:pPr>
        <w:keepNext w:val="0"/>
        <w:keepLines w:val="0"/>
        <w:pageBreakBefore w:val="0"/>
        <w:widowControl/>
        <w:shd w:val="clear" w:color="auto" w:fill="FFFFFF"/>
        <w:kinsoku/>
        <w:wordWrap/>
        <w:overflowPunct/>
        <w:topLinePunct w:val="0"/>
        <w:autoSpaceDE/>
        <w:autoSpaceDN/>
        <w:bidi w:val="0"/>
        <w:adjustRightInd w:val="0"/>
        <w:snapToGrid w:val="0"/>
        <w:spacing w:before="100" w:beforeAutospacing="1" w:after="100" w:afterAutospacing="1" w:line="240" w:lineRule="auto"/>
        <w:jc w:val="center"/>
        <w:textAlignment w:val="auto"/>
        <w:rPr>
          <w:rFonts w:hint="eastAsia" w:ascii="宋体" w:hAnsi="宋体" w:eastAsia="宋体"/>
          <w:b/>
          <w:bCs/>
          <w:sz w:val="44"/>
          <w:szCs w:val="36"/>
        </w:rPr>
      </w:pPr>
      <w:r>
        <w:rPr>
          <w:rFonts w:hint="eastAsia" w:ascii="宋体" w:hAnsi="宋体" w:eastAsia="宋体"/>
          <w:b/>
          <w:bCs/>
          <w:sz w:val="44"/>
          <w:szCs w:val="36"/>
          <w:lang w:eastAsia="zh-CN"/>
        </w:rPr>
        <w:t>海狸鼠专项监测合同</w:t>
      </w:r>
    </w:p>
    <w:p>
      <w:pPr>
        <w:shd w:val="clear" w:color="auto" w:fill="FFFFFF"/>
        <w:spacing w:before="100" w:beforeAutospacing="1" w:after="100" w:afterAutospacing="1"/>
        <w:jc w:val="center"/>
        <w:rPr>
          <w:rFonts w:ascii="宋体" w:hAnsi="宋体"/>
          <w:szCs w:val="21"/>
        </w:rPr>
      </w:pPr>
      <w:r>
        <w:rPr>
          <w:rFonts w:hint="eastAsia" w:ascii="宋体" w:hAnsi="宋体"/>
          <w:b/>
          <w:bCs/>
          <w:szCs w:val="21"/>
          <w:lang w:val="en-US" w:eastAsia="zh-CN"/>
        </w:rPr>
        <w:t xml:space="preserve">                                                                                     </w:t>
      </w:r>
      <w:r>
        <w:rPr>
          <w:rFonts w:hint="eastAsia" w:ascii="宋体" w:hAnsi="宋体"/>
          <w:b/>
          <w:bCs/>
          <w:szCs w:val="21"/>
        </w:rPr>
        <w:t>合同编号：</w:t>
      </w:r>
    </w:p>
    <w:p>
      <w:pPr>
        <w:spacing w:line="360" w:lineRule="auto"/>
        <w:rPr>
          <w:rFonts w:ascii="Times New Roman" w:hAnsi="Times New Roman" w:cs="Times New Roman"/>
          <w:sz w:val="24"/>
          <w:u w:val="single"/>
        </w:rPr>
      </w:pPr>
      <w:r>
        <w:rPr>
          <w:rFonts w:ascii="Times New Roman" w:hAnsi="Times New Roman" w:cs="Times New Roman"/>
          <w:sz w:val="24"/>
        </w:rPr>
        <w:t>委托单位（甲方）：</w:t>
      </w:r>
      <w:r>
        <w:rPr>
          <w:rFonts w:ascii="Times New Roman" w:hAnsi="Times New Roman" w:cs="Times New Roman"/>
          <w:sz w:val="24"/>
          <w:u w:val="none"/>
        </w:rPr>
        <w:t>上海市松江区环境监测站</w:t>
      </w:r>
    </w:p>
    <w:p>
      <w:pPr>
        <w:spacing w:line="360" w:lineRule="auto"/>
        <w:rPr>
          <w:rFonts w:ascii="Times New Roman" w:hAnsi="Times New Roman" w:cs="Times New Roman"/>
          <w:sz w:val="24"/>
          <w:u w:val="none"/>
        </w:rPr>
      </w:pPr>
      <w:r>
        <w:rPr>
          <w:rFonts w:ascii="Times New Roman" w:hAnsi="Times New Roman" w:cs="Times New Roman"/>
          <w:sz w:val="24"/>
        </w:rPr>
        <w:t>地址：</w:t>
      </w:r>
      <w:r>
        <w:rPr>
          <w:rFonts w:ascii="Times New Roman" w:hAnsi="Times New Roman" w:cs="Times New Roman"/>
          <w:sz w:val="24"/>
          <w:u w:val="none"/>
        </w:rPr>
        <w:t>上海市松江区中辰路388号</w:t>
      </w:r>
    </w:p>
    <w:p>
      <w:pPr>
        <w:spacing w:line="360" w:lineRule="auto"/>
        <w:rPr>
          <w:rFonts w:hint="eastAsia" w:ascii="仿宋" w:hAnsi="仿宋" w:eastAsia="仿宋" w:cs="仿宋"/>
          <w:kern w:val="0"/>
          <w:sz w:val="24"/>
          <w:u w:val="none"/>
        </w:rPr>
      </w:pPr>
      <w:r>
        <w:rPr>
          <w:rFonts w:ascii="Times New Roman" w:hAnsi="Times New Roman" w:cs="Times New Roman"/>
          <w:sz w:val="24"/>
        </w:rPr>
        <w:t>联系人：</w:t>
      </w:r>
      <w:r>
        <w:rPr>
          <w:rFonts w:ascii="Times New Roman" w:hAnsi="Times New Roman" w:cs="Times New Roman"/>
          <w:sz w:val="24"/>
          <w:u w:val="none"/>
        </w:rPr>
        <w:t xml:space="preserve"> </w:t>
      </w:r>
      <w:r>
        <w:rPr>
          <w:rFonts w:hint="eastAsia" w:ascii="Times New Roman" w:hAnsi="Times New Roman" w:cs="Times New Roman"/>
          <w:sz w:val="24"/>
          <w:u w:val="none"/>
        </w:rPr>
        <w:t xml:space="preserve"> </w:t>
      </w:r>
      <w:r>
        <w:rPr>
          <w:rFonts w:hint="eastAsia" w:ascii="Times New Roman" w:hAnsi="Times New Roman" w:cs="Times New Roman"/>
          <w:sz w:val="24"/>
          <w:u w:val="none"/>
          <w:lang w:val="en-US" w:eastAsia="zh-CN"/>
        </w:rPr>
        <w:t xml:space="preserve">  </w:t>
      </w:r>
      <w:r>
        <w:rPr>
          <w:rFonts w:hint="eastAsia" w:ascii="Times New Roman" w:hAnsi="Times New Roman" w:cs="Times New Roman"/>
          <w:sz w:val="24"/>
          <w:u w:val="none"/>
          <w:lang w:eastAsia="zh-CN"/>
        </w:rPr>
        <w:t>陆庆</w:t>
      </w:r>
      <w:r>
        <w:rPr>
          <w:rFonts w:hint="eastAsia" w:ascii="Times New Roman" w:hAnsi="Times New Roman" w:cs="Times New Roman"/>
          <w:sz w:val="24"/>
          <w:u w:val="none"/>
        </w:rPr>
        <w:t xml:space="preserve">      </w:t>
      </w:r>
      <w:r>
        <w:rPr>
          <w:rFonts w:ascii="Times New Roman" w:hAnsi="Times New Roman" w:cs="Times New Roman"/>
          <w:sz w:val="24"/>
          <w:u w:val="none"/>
        </w:rPr>
        <w:t xml:space="preserve"> </w:t>
      </w:r>
      <w:r>
        <w:rPr>
          <w:rFonts w:ascii="Times New Roman" w:hAnsi="Times New Roman" w:cs="Times New Roman"/>
          <w:sz w:val="24"/>
        </w:rPr>
        <w:t>手机：</w:t>
      </w:r>
      <w:r>
        <w:rPr>
          <w:rFonts w:hint="eastAsia" w:ascii="仿宋" w:hAnsi="仿宋" w:eastAsia="仿宋" w:cs="仿宋"/>
          <w:kern w:val="0"/>
          <w:sz w:val="24"/>
          <w:u w:val="none"/>
        </w:rPr>
        <w:t xml:space="preserve">                </w:t>
      </w:r>
    </w:p>
    <w:p>
      <w:pPr>
        <w:spacing w:line="360" w:lineRule="auto"/>
        <w:rPr>
          <w:rFonts w:ascii="Times New Roman" w:hAnsi="Times New Roman" w:cs="Times New Roman"/>
          <w:sz w:val="24"/>
        </w:rPr>
      </w:pPr>
      <w:r>
        <w:rPr>
          <w:rFonts w:ascii="Times New Roman" w:hAnsi="Times New Roman" w:cs="Times New Roman"/>
          <w:sz w:val="24"/>
        </w:rPr>
        <w:t>受托单位（乙方）：</w:t>
      </w:r>
    </w:p>
    <w:p>
      <w:pPr>
        <w:spacing w:line="360" w:lineRule="auto"/>
        <w:rPr>
          <w:rFonts w:ascii="Times New Roman" w:hAnsi="Times New Roman" w:cs="Times New Roman"/>
          <w:sz w:val="24"/>
        </w:rPr>
      </w:pPr>
      <w:r>
        <w:rPr>
          <w:rFonts w:ascii="Times New Roman" w:hAnsi="Times New Roman" w:cs="Times New Roman"/>
          <w:sz w:val="24"/>
        </w:rPr>
        <w:t>地址：</w:t>
      </w:r>
    </w:p>
    <w:p>
      <w:pPr>
        <w:spacing w:line="360" w:lineRule="auto"/>
        <w:rPr>
          <w:rFonts w:ascii="Times New Roman" w:hAnsi="Times New Roman" w:cs="Times New Roman"/>
          <w:bCs/>
          <w:sz w:val="24"/>
        </w:rPr>
      </w:pPr>
      <w:r>
        <w:rPr>
          <w:rFonts w:ascii="Times New Roman" w:hAnsi="Times New Roman" w:cs="Times New Roman"/>
          <w:sz w:val="24"/>
        </w:rPr>
        <w:t>联系人：</w:t>
      </w:r>
      <w:r>
        <w:rPr>
          <w:rFonts w:ascii="Times New Roman" w:hAnsi="Times New Roman" w:cs="Times New Roman"/>
          <w:sz w:val="24"/>
          <w:u w:val="none"/>
        </w:rPr>
        <w:t xml:space="preserve"> </w:t>
      </w:r>
      <w:r>
        <w:rPr>
          <w:rFonts w:hint="eastAsia" w:ascii="Times New Roman" w:hAnsi="Times New Roman" w:cs="Times New Roman"/>
          <w:sz w:val="24"/>
          <w:u w:val="none"/>
          <w:lang w:val="en-US" w:eastAsia="zh-CN"/>
        </w:rPr>
        <w:t xml:space="preserve">                    </w:t>
      </w:r>
      <w:r>
        <w:rPr>
          <w:rFonts w:ascii="Times New Roman" w:hAnsi="Times New Roman" w:cs="Times New Roman"/>
          <w:sz w:val="24"/>
        </w:rPr>
        <w:t>手机：</w:t>
      </w:r>
    </w:p>
    <w:p>
      <w:pPr>
        <w:spacing w:line="360" w:lineRule="auto"/>
        <w:ind w:firstLine="480" w:firstLineChars="200"/>
        <w:rPr>
          <w:rFonts w:ascii="Times New Roman" w:hAnsi="Times New Roman" w:eastAsia="宋体" w:cs="Times New Roman"/>
          <w:sz w:val="24"/>
        </w:rPr>
      </w:pPr>
      <w:r>
        <w:rPr>
          <w:rFonts w:ascii="Times New Roman" w:hAnsi="Times New Roman" w:cs="Times New Roman"/>
          <w:bCs/>
          <w:sz w:val="24"/>
        </w:rPr>
        <w:t>甲乙双方经过平等协商，在真实、充分地表达各自意愿的基础上，根据《中华人民共和国民法典》等法律、法规的规定，经协商一致，就</w:t>
      </w:r>
      <w:r>
        <w:rPr>
          <w:rFonts w:hint="eastAsia" w:ascii="Times New Roman" w:hAnsi="Times New Roman" w:cs="Times New Roman"/>
          <w:bCs/>
          <w:sz w:val="24"/>
          <w:u w:val="single"/>
          <w:lang w:eastAsia="zh-CN"/>
        </w:rPr>
        <w:t>海狸鼠专项</w:t>
      </w:r>
      <w:r>
        <w:rPr>
          <w:rFonts w:ascii="Times New Roman" w:hAnsi="Times New Roman" w:cs="Times New Roman"/>
          <w:bCs/>
          <w:sz w:val="24"/>
          <w:u w:val="single"/>
        </w:rPr>
        <w:t>监测</w:t>
      </w:r>
      <w:r>
        <w:rPr>
          <w:rFonts w:ascii="Times New Roman" w:hAnsi="Times New Roman" w:cs="Times New Roman"/>
          <w:bCs/>
          <w:sz w:val="24"/>
        </w:rPr>
        <w:t>项目的技术服务，约定条款如下：</w:t>
      </w:r>
    </w:p>
    <w:p>
      <w:pPr>
        <w:pStyle w:val="3"/>
        <w:numPr>
          <w:ilvl w:val="0"/>
          <w:numId w:val="8"/>
        </w:numPr>
        <w:spacing w:before="100" w:after="100"/>
        <w:rPr>
          <w:rFonts w:ascii="Times New Roman" w:hAnsi="Times New Roman" w:eastAsia="黑体" w:cs="Times New Roman"/>
          <w:sz w:val="28"/>
          <w:szCs w:val="28"/>
          <w:highlight w:val="none"/>
        </w:rPr>
      </w:pPr>
      <w:r>
        <w:rPr>
          <w:rFonts w:ascii="Times New Roman" w:hAnsi="Times New Roman" w:eastAsia="黑体" w:cs="Times New Roman"/>
          <w:sz w:val="28"/>
          <w:szCs w:val="28"/>
          <w:highlight w:val="none"/>
        </w:rPr>
        <w:t>服务内容、方式和要求：</w:t>
      </w:r>
    </w:p>
    <w:p>
      <w:pPr>
        <w:spacing w:line="360" w:lineRule="auto"/>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1</w:t>
      </w:r>
      <w:r>
        <w:rPr>
          <w:rFonts w:hint="eastAsia" w:ascii="Times New Roman" w:hAnsi="Times New Roman" w:cs="Times New Roman"/>
          <w:sz w:val="24"/>
          <w:highlight w:val="none"/>
          <w:lang w:val="en-US" w:eastAsia="zh-CN"/>
        </w:rPr>
        <w:t>.</w:t>
      </w:r>
      <w:r>
        <w:rPr>
          <w:rFonts w:ascii="Times New Roman" w:hAnsi="Times New Roman" w:eastAsia="宋体" w:cs="Times New Roman"/>
          <w:sz w:val="24"/>
          <w:highlight w:val="none"/>
        </w:rPr>
        <w:t>服务内容与方式：</w:t>
      </w:r>
    </w:p>
    <w:p>
      <w:pPr>
        <w:spacing w:line="360" w:lineRule="auto"/>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依据《202</w:t>
      </w:r>
      <w:r>
        <w:rPr>
          <w:rFonts w:hint="eastAsia" w:ascii="Times New Roman" w:hAnsi="Times New Roman" w:eastAsia="宋体" w:cs="Times New Roman"/>
          <w:sz w:val="24"/>
          <w:highlight w:val="none"/>
        </w:rPr>
        <w:t>6</w:t>
      </w:r>
      <w:r>
        <w:rPr>
          <w:rFonts w:ascii="Times New Roman" w:hAnsi="Times New Roman" w:eastAsia="宋体" w:cs="Times New Roman"/>
          <w:sz w:val="24"/>
          <w:highlight w:val="none"/>
        </w:rPr>
        <w:t>年度松江区生态环境监测工作计划实施方案》中的工作任务，</w:t>
      </w:r>
      <w:r>
        <w:rPr>
          <w:rFonts w:hint="eastAsia" w:ascii="Times New Roman" w:hAnsi="Times New Roman" w:eastAsia="宋体" w:cs="Times New Roman"/>
          <w:sz w:val="24"/>
          <w:highlight w:val="none"/>
        </w:rPr>
        <w:t>对松江区海狸鼠核心分布区（叶榭镇兴达村、泖港镇焦家村）组织开展辖区海狸鼠专项监测</w:t>
      </w:r>
      <w:r>
        <w:rPr>
          <w:rFonts w:ascii="Times New Roman" w:hAnsi="Times New Roman" w:eastAsia="宋体" w:cs="Times New Roman"/>
          <w:sz w:val="24"/>
          <w:highlight w:val="none"/>
        </w:rPr>
        <w:t>，包括</w:t>
      </w:r>
      <w:r>
        <w:rPr>
          <w:rFonts w:hint="eastAsia" w:ascii="Times New Roman" w:hAnsi="Times New Roman" w:cs="Times New Roman"/>
          <w:sz w:val="24"/>
          <w:highlight w:val="none"/>
          <w:lang w:eastAsia="zh-CN"/>
        </w:rPr>
        <w:t>红外相机监测法</w:t>
      </w:r>
      <w:r>
        <w:rPr>
          <w:rFonts w:ascii="Times New Roman" w:hAnsi="Times New Roman" w:eastAsia="宋体" w:cs="Times New Roman"/>
          <w:sz w:val="24"/>
          <w:highlight w:val="none"/>
        </w:rPr>
        <w:t>、</w:t>
      </w:r>
      <w:r>
        <w:rPr>
          <w:rFonts w:hint="eastAsia" w:ascii="Times New Roman" w:hAnsi="Times New Roman" w:cs="Times New Roman"/>
          <w:sz w:val="24"/>
          <w:highlight w:val="none"/>
          <w:lang w:eastAsia="zh-CN"/>
        </w:rPr>
        <w:t>样线调查法</w:t>
      </w:r>
      <w:r>
        <w:rPr>
          <w:rFonts w:ascii="Times New Roman" w:hAnsi="Times New Roman" w:eastAsia="宋体" w:cs="Times New Roman"/>
          <w:sz w:val="24"/>
          <w:highlight w:val="none"/>
        </w:rPr>
        <w:t>。</w:t>
      </w:r>
    </w:p>
    <w:p>
      <w:pPr>
        <w:spacing w:line="360" w:lineRule="auto"/>
        <w:ind w:firstLine="480" w:firstLineChars="200"/>
        <w:rPr>
          <w:rFonts w:hint="eastAsia" w:ascii="Times New Roman" w:hAnsi="Times New Roman" w:cs="Times New Roman"/>
          <w:sz w:val="24"/>
          <w:lang w:eastAsia="zh-CN"/>
        </w:rPr>
      </w:pPr>
      <w:r>
        <w:rPr>
          <w:rFonts w:hint="eastAsia" w:ascii="Times New Roman" w:hAnsi="Times New Roman" w:cs="Times New Roman"/>
          <w:sz w:val="24"/>
          <w:lang w:eastAsia="zh-CN"/>
        </w:rPr>
        <w:t>监测项目与监测频次：</w:t>
      </w:r>
    </w:p>
    <w:p>
      <w:pPr>
        <w:spacing w:line="360" w:lineRule="auto"/>
        <w:ind w:firstLine="480" w:firstLineChars="200"/>
        <w:rPr>
          <w:rFonts w:hint="eastAsia" w:ascii="Times New Roman" w:hAnsi="Times New Roman" w:eastAsia="宋体" w:cs="Times New Roman"/>
          <w:b w:val="0"/>
          <w:bCs w:val="0"/>
          <w:color w:val="auto"/>
          <w:sz w:val="24"/>
          <w:szCs w:val="22"/>
          <w:lang w:val="en-US" w:eastAsia="zh-CN" w:bidi="ar-SA"/>
        </w:rPr>
      </w:pPr>
      <w:r>
        <w:rPr>
          <w:rFonts w:hint="eastAsia" w:ascii="Times New Roman" w:hAnsi="Times New Roman" w:eastAsia="宋体" w:cs="Times New Roman"/>
          <w:b w:val="0"/>
          <w:bCs w:val="0"/>
          <w:color w:val="auto"/>
          <w:sz w:val="24"/>
          <w:szCs w:val="22"/>
          <w:lang w:val="en-US" w:eastAsia="zh-CN" w:bidi="ar-SA"/>
        </w:rPr>
        <w:t>（1）红外相机监测法</w:t>
      </w:r>
    </w:p>
    <w:p>
      <w:pPr>
        <w:pageBreakBefore w:val="0"/>
        <w:widowControl/>
        <w:kinsoku/>
        <w:wordWrap/>
        <w:overflowPunct/>
        <w:topLinePunct w:val="0"/>
        <w:autoSpaceDE/>
        <w:autoSpaceDN/>
        <w:bidi w:val="0"/>
        <w:spacing w:after="0" w:line="460" w:lineRule="exact"/>
        <w:ind w:firstLine="480" w:firstLineChars="200"/>
        <w:textAlignment w:val="auto"/>
        <w:rPr>
          <w:rFonts w:hint="eastAsia" w:ascii="Times New Roman" w:hAnsi="Times New Roman" w:eastAsia="宋体" w:cs="Times New Roman"/>
          <w:b w:val="0"/>
          <w:bCs w:val="0"/>
          <w:color w:val="auto"/>
          <w:sz w:val="24"/>
          <w:szCs w:val="22"/>
          <w:lang w:val="en-US" w:eastAsia="zh-CN" w:bidi="ar-SA"/>
        </w:rPr>
      </w:pPr>
      <w:r>
        <w:rPr>
          <w:rFonts w:hint="eastAsia" w:ascii="Times New Roman" w:hAnsi="Times New Roman" w:eastAsia="宋体" w:cs="Times New Roman"/>
          <w:b w:val="0"/>
          <w:bCs w:val="0"/>
          <w:color w:val="auto"/>
          <w:sz w:val="24"/>
          <w:szCs w:val="22"/>
          <w:lang w:val="en-US" w:eastAsia="zh-CN" w:bidi="ar-SA"/>
        </w:rPr>
        <w:t>红外相机监测是本次调查的核心定量手段。相机架设高度距地面20-60厘米，镜头略向下倾，与海狸鼠活动路径呈锐角，避免朝正东阳光直射方向；清理镜头前方枝叶遮挡，保证视野清晰；布设前校准参数并定期维护。每月回收数据，记录有效拍摄次数、个体数、行为类型、时间及生境信息，据此构建日、月、季活动曲线，为种群分析提供可靠依据。</w:t>
      </w:r>
    </w:p>
    <w:p>
      <w:pPr>
        <w:pageBreakBefore w:val="0"/>
        <w:widowControl/>
        <w:kinsoku/>
        <w:wordWrap/>
        <w:overflowPunct/>
        <w:topLinePunct w:val="0"/>
        <w:autoSpaceDE/>
        <w:autoSpaceDN/>
        <w:bidi w:val="0"/>
        <w:spacing w:after="0" w:line="460" w:lineRule="exact"/>
        <w:ind w:firstLine="480" w:firstLineChars="200"/>
        <w:textAlignment w:val="auto"/>
        <w:rPr>
          <w:rFonts w:hint="eastAsia" w:ascii="Times New Roman" w:hAnsi="Times New Roman" w:eastAsia="宋体" w:cs="Times New Roman"/>
          <w:b w:val="0"/>
          <w:bCs w:val="0"/>
          <w:color w:val="auto"/>
          <w:sz w:val="24"/>
          <w:szCs w:val="22"/>
          <w:lang w:val="en-US" w:eastAsia="zh-CN" w:bidi="ar-SA"/>
        </w:rPr>
      </w:pPr>
      <w:r>
        <w:rPr>
          <w:rFonts w:hint="eastAsia" w:ascii="Times New Roman" w:hAnsi="Times New Roman" w:eastAsia="宋体" w:cs="Times New Roman"/>
          <w:b w:val="0"/>
          <w:bCs w:val="0"/>
          <w:color w:val="auto"/>
          <w:sz w:val="24"/>
          <w:szCs w:val="22"/>
          <w:lang w:val="en-US" w:eastAsia="zh-CN" w:bidi="ar-SA"/>
        </w:rPr>
        <w:t>（2）样线法</w:t>
      </w:r>
    </w:p>
    <w:p>
      <w:pPr>
        <w:pageBreakBefore w:val="0"/>
        <w:widowControl/>
        <w:kinsoku/>
        <w:wordWrap/>
        <w:overflowPunct/>
        <w:topLinePunct w:val="0"/>
        <w:autoSpaceDE/>
        <w:autoSpaceDN/>
        <w:bidi w:val="0"/>
        <w:spacing w:after="0" w:line="460" w:lineRule="exact"/>
        <w:ind w:firstLine="480" w:firstLineChars="200"/>
        <w:textAlignment w:val="auto"/>
        <w:rPr>
          <w:rFonts w:hint="eastAsia" w:ascii="Times New Roman" w:hAnsi="Times New Roman" w:eastAsia="宋体" w:cs="Times New Roman"/>
          <w:b w:val="0"/>
          <w:bCs w:val="0"/>
          <w:color w:val="auto"/>
          <w:sz w:val="24"/>
          <w:szCs w:val="22"/>
          <w:lang w:val="en-US" w:eastAsia="zh-CN" w:bidi="ar-SA"/>
        </w:rPr>
      </w:pPr>
      <w:r>
        <w:rPr>
          <w:rFonts w:hint="eastAsia" w:ascii="Times New Roman" w:hAnsi="Times New Roman" w:eastAsia="宋体" w:cs="Times New Roman"/>
          <w:b w:val="0"/>
          <w:bCs w:val="0"/>
          <w:color w:val="auto"/>
          <w:sz w:val="24"/>
          <w:szCs w:val="22"/>
          <w:lang w:val="en-US" w:eastAsia="zh-CN" w:bidi="ar-SA"/>
        </w:rPr>
        <w:t>用于分析海狸鼠的空间分布特征和栖息地选择。2个村分别设置5条（共10条）样线,长度不低于600米的固定样线，相邻样线间距不小于300米，覆盖河道、农田、林地及湿地等主要生境。巡查速度1.5-3公里/小时，记录个体数量、痕迹数量、距样线中线的垂直距离、生境类型、GPS点位及危害等级；夏季繁殖高峰期和冬季上岸觅食高峰期各重复1次，确保数据季节可比性和空间完整性。</w:t>
      </w:r>
    </w:p>
    <w:p>
      <w:pPr>
        <w:pageBreakBefore w:val="0"/>
        <w:widowControl/>
        <w:kinsoku/>
        <w:wordWrap/>
        <w:overflowPunct/>
        <w:topLinePunct w:val="0"/>
        <w:autoSpaceDE/>
        <w:autoSpaceDN/>
        <w:bidi w:val="0"/>
        <w:spacing w:after="0" w:line="460" w:lineRule="exact"/>
        <w:ind w:firstLine="480" w:firstLineChars="200"/>
        <w:textAlignment w:val="auto"/>
        <w:rPr>
          <w:rFonts w:hint="eastAsia" w:ascii="Times New Roman" w:hAnsi="Times New Roman" w:eastAsia="宋体" w:cs="Times New Roman"/>
          <w:b w:val="0"/>
          <w:bCs w:val="0"/>
          <w:color w:val="auto"/>
          <w:sz w:val="24"/>
          <w:szCs w:val="22"/>
          <w:lang w:val="en-US" w:eastAsia="zh-CN" w:bidi="ar-SA"/>
        </w:rPr>
      </w:pPr>
      <w:r>
        <w:rPr>
          <w:rFonts w:hint="eastAsia" w:ascii="Times New Roman" w:hAnsi="Times New Roman" w:eastAsia="宋体" w:cs="Times New Roman"/>
          <w:b w:val="0"/>
          <w:bCs w:val="0"/>
          <w:color w:val="auto"/>
          <w:sz w:val="24"/>
          <w:szCs w:val="22"/>
          <w:lang w:val="en-US" w:eastAsia="zh-CN" w:bidi="ar-SA"/>
        </w:rPr>
        <w:t>用于估算海狸鼠种群密度，并与红外相机监测数据进行交叉验证。在红外相机周边设置20米×40米标准痕迹样方，记录粪便、体毛、爪印、食痕、卧迹、尿迹、洞穴及足迹链等指标，分类计数、测量尺寸并估算出现频次；建立痕迹指数与种群密度回归模型，实现无干扰种群密度科学估算。</w:t>
      </w:r>
    </w:p>
    <w:p>
      <w:pPr>
        <w:pStyle w:val="3"/>
        <w:numPr>
          <w:ilvl w:val="0"/>
          <w:numId w:val="8"/>
        </w:numPr>
        <w:spacing w:before="100" w:after="100"/>
        <w:rPr>
          <w:rFonts w:ascii="Times New Roman" w:hAnsi="Times New Roman" w:eastAsia="黑体" w:cs="Times New Roman"/>
          <w:sz w:val="28"/>
          <w:szCs w:val="28"/>
        </w:rPr>
      </w:pPr>
      <w:r>
        <w:rPr>
          <w:rFonts w:ascii="Times New Roman" w:hAnsi="Times New Roman" w:eastAsia="黑体" w:cs="Times New Roman"/>
          <w:sz w:val="28"/>
          <w:szCs w:val="28"/>
        </w:rPr>
        <w:t>双方权利义务：</w:t>
      </w:r>
    </w:p>
    <w:p>
      <w:pPr>
        <w:numPr>
          <w:ilvl w:val="0"/>
          <w:numId w:val="9"/>
        </w:numPr>
        <w:spacing w:line="360" w:lineRule="auto"/>
        <w:rPr>
          <w:rFonts w:ascii="Times New Roman" w:hAnsi="Times New Roman" w:eastAsia="宋体" w:cs="Times New Roman"/>
          <w:sz w:val="24"/>
        </w:rPr>
      </w:pPr>
      <w:r>
        <w:rPr>
          <w:rFonts w:ascii="Times New Roman" w:hAnsi="Times New Roman" w:eastAsia="宋体" w:cs="Times New Roman"/>
          <w:sz w:val="24"/>
        </w:rPr>
        <w:t>甲方：</w:t>
      </w:r>
    </w:p>
    <w:p>
      <w:pPr>
        <w:spacing w:line="360" w:lineRule="auto"/>
        <w:ind w:firstLine="480" w:firstLineChars="200"/>
        <w:rPr>
          <w:rFonts w:ascii="Times New Roman" w:hAnsi="Times New Roman" w:eastAsia="宋体" w:cs="Times New Roman"/>
          <w:sz w:val="24"/>
        </w:rPr>
      </w:pPr>
      <w:r>
        <w:rPr>
          <w:rFonts w:hint="eastAsia" w:ascii="Times New Roman" w:hAnsi="Times New Roman" w:eastAsia="宋体" w:cs="Times New Roman"/>
          <w:sz w:val="24"/>
          <w:lang w:val="en-US" w:eastAsia="zh-CN"/>
        </w:rPr>
        <w:t>1.</w:t>
      </w:r>
      <w:r>
        <w:rPr>
          <w:rFonts w:ascii="Times New Roman" w:hAnsi="Times New Roman" w:eastAsia="宋体" w:cs="Times New Roman"/>
          <w:sz w:val="24"/>
        </w:rPr>
        <w:t>甲方提供项目实施所必须的材料、信息，并对其真实性和有效性负责；甲方提供的资料、数据、信息有变化时，及时通知乙方。</w:t>
      </w:r>
    </w:p>
    <w:p>
      <w:pPr>
        <w:spacing w:line="360" w:lineRule="auto"/>
        <w:ind w:firstLine="480" w:firstLineChars="200"/>
        <w:rPr>
          <w:rFonts w:ascii="Times New Roman" w:hAnsi="Times New Roman" w:eastAsia="宋体" w:cs="Times New Roman"/>
          <w:sz w:val="24"/>
        </w:rPr>
      </w:pPr>
      <w:r>
        <w:rPr>
          <w:rFonts w:hint="eastAsia" w:ascii="Times New Roman" w:hAnsi="Times New Roman" w:eastAsia="宋体" w:cs="Times New Roman"/>
          <w:sz w:val="24"/>
          <w:lang w:val="en-US" w:eastAsia="zh-CN"/>
        </w:rPr>
        <w:t>2.</w:t>
      </w:r>
      <w:r>
        <w:rPr>
          <w:rFonts w:ascii="Times New Roman" w:hAnsi="Times New Roman" w:eastAsia="宋体" w:cs="Times New Roman"/>
          <w:sz w:val="24"/>
        </w:rPr>
        <w:t>甲方按照合同约定，根据项目推进情况，支付相应款项。</w:t>
      </w:r>
    </w:p>
    <w:p>
      <w:pPr>
        <w:spacing w:line="360" w:lineRule="auto"/>
        <w:ind w:firstLine="480" w:firstLineChars="200"/>
        <w:rPr>
          <w:rFonts w:ascii="Times New Roman" w:hAnsi="Times New Roman" w:eastAsia="宋体" w:cs="Times New Roman"/>
          <w:sz w:val="24"/>
        </w:rPr>
      </w:pPr>
      <w:r>
        <w:rPr>
          <w:rFonts w:hint="eastAsia" w:ascii="Times New Roman" w:hAnsi="Times New Roman" w:eastAsia="宋体" w:cs="Times New Roman"/>
          <w:sz w:val="24"/>
          <w:lang w:val="en-US" w:eastAsia="zh-CN"/>
        </w:rPr>
        <w:t>3.</w:t>
      </w:r>
      <w:r>
        <w:rPr>
          <w:rFonts w:ascii="Times New Roman" w:hAnsi="Times New Roman" w:eastAsia="宋体" w:cs="Times New Roman"/>
          <w:sz w:val="24"/>
        </w:rPr>
        <w:t>项目实施过程中，甲方对本机构人员的安全等相关事宜负责，对乙方人员安全不负责任。</w:t>
      </w:r>
    </w:p>
    <w:p>
      <w:pPr>
        <w:spacing w:line="360" w:lineRule="auto"/>
        <w:ind w:firstLine="480" w:firstLineChars="200"/>
        <w:rPr>
          <w:rFonts w:ascii="Times New Roman" w:hAnsi="Times New Roman" w:eastAsia="宋体" w:cs="Times New Roman"/>
          <w:sz w:val="24"/>
        </w:rPr>
      </w:pPr>
      <w:r>
        <w:rPr>
          <w:rFonts w:ascii="Times New Roman" w:hAnsi="Times New Roman" w:eastAsia="宋体" w:cs="Times New Roman"/>
          <w:sz w:val="24"/>
        </w:rPr>
        <w:t>甲方按照工作需要参加项目验收工作</w:t>
      </w:r>
      <w:r>
        <w:rPr>
          <w:rFonts w:hint="eastAsia" w:ascii="Times New Roman" w:hAnsi="Times New Roman" w:eastAsia="宋体" w:cs="Times New Roman"/>
          <w:sz w:val="24"/>
        </w:rPr>
        <w:t>。</w:t>
      </w:r>
    </w:p>
    <w:p>
      <w:pPr>
        <w:numPr>
          <w:ilvl w:val="0"/>
          <w:numId w:val="9"/>
        </w:numPr>
        <w:spacing w:line="360" w:lineRule="auto"/>
        <w:rPr>
          <w:rFonts w:ascii="Times New Roman" w:hAnsi="Times New Roman" w:eastAsia="宋体" w:cs="Times New Roman"/>
          <w:sz w:val="24"/>
        </w:rPr>
      </w:pPr>
      <w:r>
        <w:rPr>
          <w:rFonts w:ascii="Times New Roman" w:hAnsi="Times New Roman" w:eastAsia="宋体" w:cs="Times New Roman"/>
          <w:sz w:val="24"/>
        </w:rPr>
        <w:t>乙方：</w:t>
      </w:r>
    </w:p>
    <w:p>
      <w:pPr>
        <w:spacing w:line="360" w:lineRule="auto"/>
        <w:ind w:firstLine="480" w:firstLineChars="200"/>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1.按甲方指定的要求，制定项目实施方案并提交至甲方。</w:t>
      </w:r>
    </w:p>
    <w:p>
      <w:pPr>
        <w:spacing w:line="360" w:lineRule="auto"/>
        <w:ind w:firstLine="480" w:firstLineChars="200"/>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2.在项目实施过程中，提供每月计划及上月完成情况。。</w:t>
      </w:r>
    </w:p>
    <w:p>
      <w:pPr>
        <w:spacing w:line="360" w:lineRule="auto"/>
        <w:ind w:firstLine="480" w:firstLineChars="200"/>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3.甲方有权以各种形式对乙方的相关工作进行监督和检查，并可在项目实施期间根据工作情况，经乙方同意后修改项目实施方案。</w:t>
      </w:r>
    </w:p>
    <w:p>
      <w:pPr>
        <w:spacing w:line="360" w:lineRule="auto"/>
        <w:ind w:firstLine="480" w:firstLineChars="200"/>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4.乙方应保证按时完成项目。</w:t>
      </w:r>
    </w:p>
    <w:p>
      <w:pPr>
        <w:numPr>
          <w:ilvl w:val="0"/>
          <w:numId w:val="9"/>
        </w:numPr>
        <w:spacing w:line="360" w:lineRule="auto"/>
        <w:rPr>
          <w:rFonts w:ascii="Times New Roman" w:hAnsi="Times New Roman" w:eastAsia="宋体" w:cs="Times New Roman"/>
          <w:sz w:val="24"/>
        </w:rPr>
      </w:pPr>
      <w:r>
        <w:rPr>
          <w:rFonts w:ascii="Times New Roman" w:hAnsi="Times New Roman" w:eastAsia="宋体" w:cs="Times New Roman"/>
          <w:sz w:val="24"/>
        </w:rPr>
        <w:t>保密义务</w:t>
      </w:r>
    </w:p>
    <w:p>
      <w:pPr>
        <w:pStyle w:val="176"/>
        <w:spacing w:line="360" w:lineRule="auto"/>
        <w:ind w:firstLine="480" w:firstLineChars="200"/>
        <w:jc w:val="both"/>
        <w:rPr>
          <w:rFonts w:ascii="Times New Roman" w:cs="Times New Roman"/>
        </w:rPr>
      </w:pPr>
      <w:r>
        <w:rPr>
          <w:rFonts w:ascii="Times New Roman" w:cs="Times New Roman"/>
        </w:rPr>
        <w:t>乙方在向甲方提供服务过程中，对其获知的各类资料和信息，包括但不限于涉及国家秘密、商业秘密、个人隐私和其他不宜公开的技术资料、数据信息等资料和信息，承担保密义务，未经甲方书面同意，乙方不得以任何方式提供或披露给第三方。如乙方提供服务过程中涉及上述资料信息使用的，乙方应当按照甲方规定的使用用途和方式，正当、合理、审慎地使用涉及保密义务的资料和信息。</w:t>
      </w:r>
    </w:p>
    <w:p>
      <w:pPr>
        <w:numPr>
          <w:ilvl w:val="0"/>
          <w:numId w:val="9"/>
        </w:numPr>
        <w:spacing w:line="360" w:lineRule="auto"/>
        <w:rPr>
          <w:rFonts w:ascii="Times New Roman" w:hAnsi="Times New Roman" w:eastAsia="宋体" w:cs="Times New Roman"/>
          <w:sz w:val="24"/>
        </w:rPr>
      </w:pPr>
      <w:r>
        <w:rPr>
          <w:rFonts w:ascii="Times New Roman" w:hAnsi="Times New Roman" w:eastAsia="宋体" w:cs="Times New Roman"/>
          <w:sz w:val="24"/>
        </w:rPr>
        <w:t>履约保证</w:t>
      </w:r>
    </w:p>
    <w:p>
      <w:pPr>
        <w:pStyle w:val="176"/>
        <w:spacing w:line="360" w:lineRule="auto"/>
        <w:ind w:firstLine="480" w:firstLineChars="200"/>
        <w:jc w:val="both"/>
        <w:rPr>
          <w:rFonts w:ascii="Times New Roman" w:cs="Times New Roman"/>
        </w:rPr>
      </w:pPr>
      <w:r>
        <w:rPr>
          <w:rFonts w:ascii="Times New Roman" w:cs="Times New Roman"/>
        </w:rPr>
        <w:t>乙方承诺遵守相关的国家法律法规及政策法规要求，严格按照国家和上海市相关的标准和规范，以及本合同相关条款及附件，提供相应的服务活动，承诺廉洁履约并对服务质量负责。</w:t>
      </w:r>
    </w:p>
    <w:p>
      <w:pPr>
        <w:pStyle w:val="3"/>
        <w:numPr>
          <w:ilvl w:val="0"/>
          <w:numId w:val="8"/>
        </w:numPr>
        <w:spacing w:before="100" w:after="100"/>
        <w:rPr>
          <w:rFonts w:ascii="Times New Roman" w:hAnsi="Times New Roman" w:eastAsia="黑体" w:cs="Times New Roman"/>
          <w:sz w:val="28"/>
          <w:szCs w:val="28"/>
        </w:rPr>
      </w:pPr>
      <w:r>
        <w:rPr>
          <w:rFonts w:ascii="Times New Roman" w:hAnsi="Times New Roman" w:eastAsia="黑体" w:cs="Times New Roman"/>
          <w:sz w:val="28"/>
          <w:szCs w:val="28"/>
        </w:rPr>
        <w:t>履行期限和地点：</w:t>
      </w:r>
    </w:p>
    <w:p>
      <w:pPr>
        <w:spacing w:line="360" w:lineRule="auto"/>
        <w:ind w:firstLine="480" w:firstLineChars="200"/>
        <w:rPr>
          <w:rFonts w:ascii="Times New Roman" w:hAnsi="Times New Roman" w:eastAsia="宋体" w:cs="Times New Roman"/>
          <w:bCs/>
          <w:sz w:val="24"/>
        </w:rPr>
      </w:pPr>
      <w:r>
        <w:rPr>
          <w:rFonts w:ascii="Times New Roman" w:hAnsi="Times New Roman" w:eastAsia="宋体" w:cs="Times New Roman"/>
          <w:bCs/>
          <w:sz w:val="24"/>
        </w:rPr>
        <w:t>1</w:t>
      </w:r>
      <w:r>
        <w:rPr>
          <w:rFonts w:hint="eastAsia" w:ascii="Times New Roman" w:hAnsi="Times New Roman" w:cs="Times New Roman"/>
          <w:bCs/>
          <w:sz w:val="24"/>
          <w:lang w:val="en-US" w:eastAsia="zh-CN"/>
        </w:rPr>
        <w:t>.</w:t>
      </w:r>
      <w:r>
        <w:rPr>
          <w:rFonts w:ascii="Times New Roman" w:hAnsi="Times New Roman" w:eastAsia="宋体" w:cs="Times New Roman"/>
          <w:bCs/>
          <w:sz w:val="24"/>
        </w:rPr>
        <w:t>本合同履行起止时间：</w:t>
      </w:r>
      <w:r>
        <w:rPr>
          <w:rFonts w:hint="eastAsia" w:ascii="Times New Roman" w:hAnsi="Times New Roman" w:cs="Times New Roman"/>
          <w:bCs/>
          <w:sz w:val="24"/>
          <w:u w:val="single"/>
          <w:lang w:val="en-US" w:eastAsia="zh-CN"/>
        </w:rPr>
        <w:t xml:space="preserve">         </w:t>
      </w:r>
      <w:r>
        <w:rPr>
          <w:rFonts w:ascii="Times New Roman" w:hAnsi="Times New Roman" w:eastAsia="宋体" w:cs="Times New Roman"/>
          <w:bCs/>
          <w:sz w:val="24"/>
        </w:rPr>
        <w:t>年</w:t>
      </w:r>
      <w:r>
        <w:rPr>
          <w:rFonts w:ascii="Times New Roman" w:hAnsi="Times New Roman" w:eastAsia="宋体" w:cs="Times New Roman"/>
          <w:bCs/>
          <w:sz w:val="24"/>
          <w:u w:val="single"/>
        </w:rPr>
        <w:t xml:space="preserve">  </w:t>
      </w:r>
      <w:r>
        <w:rPr>
          <w:rFonts w:hint="eastAsia" w:ascii="Times New Roman" w:hAnsi="Times New Roman" w:cs="Times New Roman"/>
          <w:bCs/>
          <w:sz w:val="24"/>
          <w:u w:val="single"/>
          <w:lang w:val="en-US" w:eastAsia="zh-CN"/>
        </w:rPr>
        <w:t xml:space="preserve">  </w:t>
      </w:r>
      <w:r>
        <w:rPr>
          <w:rFonts w:ascii="Times New Roman" w:hAnsi="Times New Roman" w:eastAsia="宋体" w:cs="Times New Roman"/>
          <w:bCs/>
          <w:sz w:val="24"/>
          <w:u w:val="single"/>
        </w:rPr>
        <w:t xml:space="preserve"> </w:t>
      </w:r>
      <w:r>
        <w:rPr>
          <w:rFonts w:ascii="Times New Roman" w:hAnsi="Times New Roman" w:eastAsia="宋体" w:cs="Times New Roman"/>
          <w:bCs/>
          <w:sz w:val="24"/>
        </w:rPr>
        <w:t>月</w:t>
      </w:r>
      <w:r>
        <w:rPr>
          <w:rFonts w:ascii="Times New Roman" w:hAnsi="Times New Roman" w:eastAsia="宋体" w:cs="Times New Roman"/>
          <w:bCs/>
          <w:sz w:val="24"/>
          <w:u w:val="single"/>
        </w:rPr>
        <w:t xml:space="preserve"> </w:t>
      </w:r>
      <w:r>
        <w:rPr>
          <w:rFonts w:hint="eastAsia" w:ascii="Times New Roman" w:hAnsi="Times New Roman" w:cs="Times New Roman"/>
          <w:bCs/>
          <w:sz w:val="24"/>
          <w:u w:val="single"/>
          <w:lang w:val="en-US" w:eastAsia="zh-CN"/>
        </w:rPr>
        <w:t xml:space="preserve">  </w:t>
      </w:r>
      <w:r>
        <w:rPr>
          <w:rFonts w:ascii="Times New Roman" w:hAnsi="Times New Roman" w:eastAsia="宋体" w:cs="Times New Roman"/>
          <w:bCs/>
          <w:sz w:val="24"/>
          <w:u w:val="single"/>
        </w:rPr>
        <w:t xml:space="preserve">  </w:t>
      </w:r>
      <w:r>
        <w:rPr>
          <w:rFonts w:ascii="Times New Roman" w:hAnsi="Times New Roman" w:eastAsia="宋体" w:cs="Times New Roman"/>
          <w:bCs/>
          <w:sz w:val="24"/>
        </w:rPr>
        <w:t>日至</w:t>
      </w:r>
      <w:r>
        <w:rPr>
          <w:rFonts w:hint="eastAsia" w:ascii="Times New Roman" w:hAnsi="Times New Roman" w:cs="Times New Roman"/>
          <w:bCs/>
          <w:sz w:val="24"/>
          <w:u w:val="single"/>
          <w:lang w:val="en-US" w:eastAsia="zh-CN"/>
        </w:rPr>
        <w:t xml:space="preserve">         </w:t>
      </w:r>
      <w:r>
        <w:rPr>
          <w:rFonts w:hint="eastAsia" w:ascii="Times New Roman" w:hAnsi="Times New Roman" w:cs="Times New Roman"/>
          <w:bCs/>
          <w:sz w:val="24"/>
          <w:lang w:val="en-US" w:eastAsia="zh-CN"/>
        </w:rPr>
        <w:t xml:space="preserve"> </w:t>
      </w:r>
      <w:r>
        <w:rPr>
          <w:rFonts w:ascii="Times New Roman" w:hAnsi="Times New Roman" w:eastAsia="宋体" w:cs="Times New Roman"/>
          <w:bCs/>
          <w:sz w:val="24"/>
        </w:rPr>
        <w:t>年</w:t>
      </w:r>
      <w:r>
        <w:rPr>
          <w:rFonts w:hint="eastAsia" w:ascii="Times New Roman" w:hAnsi="Times New Roman" w:cs="Times New Roman"/>
          <w:bCs/>
          <w:sz w:val="24"/>
          <w:u w:val="single"/>
          <w:lang w:val="en-US" w:eastAsia="zh-CN"/>
        </w:rPr>
        <w:t xml:space="preserve">    </w:t>
      </w:r>
      <w:r>
        <w:rPr>
          <w:rFonts w:ascii="Times New Roman" w:hAnsi="Times New Roman" w:eastAsia="宋体" w:cs="Times New Roman"/>
          <w:bCs/>
          <w:sz w:val="24"/>
        </w:rPr>
        <w:t>月</w:t>
      </w:r>
      <w:r>
        <w:rPr>
          <w:rFonts w:ascii="Times New Roman" w:hAnsi="Times New Roman" w:eastAsia="宋体" w:cs="Times New Roman"/>
          <w:bCs/>
          <w:sz w:val="24"/>
          <w:u w:val="single"/>
        </w:rPr>
        <w:t xml:space="preserve"> </w:t>
      </w:r>
      <w:r>
        <w:rPr>
          <w:rFonts w:hint="eastAsia" w:ascii="Times New Roman" w:hAnsi="Times New Roman" w:cs="Times New Roman"/>
          <w:bCs/>
          <w:sz w:val="24"/>
          <w:u w:val="single"/>
          <w:lang w:val="en-US" w:eastAsia="zh-CN"/>
        </w:rPr>
        <w:t xml:space="preserve">   </w:t>
      </w:r>
      <w:r>
        <w:rPr>
          <w:rFonts w:ascii="Times New Roman" w:hAnsi="Times New Roman" w:eastAsia="宋体" w:cs="Times New Roman"/>
          <w:bCs/>
          <w:sz w:val="24"/>
          <w:u w:val="single"/>
        </w:rPr>
        <w:t xml:space="preserve"> </w:t>
      </w:r>
      <w:r>
        <w:rPr>
          <w:rFonts w:ascii="Times New Roman" w:hAnsi="Times New Roman" w:eastAsia="宋体" w:cs="Times New Roman"/>
          <w:bCs/>
          <w:sz w:val="24"/>
        </w:rPr>
        <w:t>日。</w:t>
      </w:r>
    </w:p>
    <w:p>
      <w:pPr>
        <w:spacing w:line="360" w:lineRule="auto"/>
        <w:ind w:firstLine="480" w:firstLineChars="200"/>
        <w:rPr>
          <w:rFonts w:ascii="Times New Roman" w:hAnsi="Times New Roman" w:eastAsia="宋体" w:cs="Times New Roman"/>
          <w:sz w:val="24"/>
        </w:rPr>
      </w:pPr>
      <w:r>
        <w:rPr>
          <w:rFonts w:ascii="Times New Roman" w:hAnsi="Times New Roman" w:eastAsia="宋体" w:cs="Times New Roman"/>
          <w:bCs/>
          <w:sz w:val="24"/>
        </w:rPr>
        <w:t>2</w:t>
      </w:r>
      <w:r>
        <w:rPr>
          <w:rFonts w:hint="eastAsia" w:ascii="Times New Roman" w:hAnsi="Times New Roman" w:cs="Times New Roman"/>
          <w:bCs/>
          <w:sz w:val="24"/>
          <w:lang w:val="en-US" w:eastAsia="zh-CN"/>
        </w:rPr>
        <w:t>.</w:t>
      </w:r>
      <w:r>
        <w:rPr>
          <w:rFonts w:ascii="Times New Roman" w:hAnsi="Times New Roman" w:eastAsia="宋体" w:cs="Times New Roman"/>
          <w:bCs/>
          <w:sz w:val="24"/>
        </w:rPr>
        <w:t>本合同履行地点：</w:t>
      </w:r>
      <w:r>
        <w:rPr>
          <w:rFonts w:ascii="Times New Roman" w:hAnsi="Times New Roman" w:eastAsia="宋体" w:cs="Times New Roman"/>
          <w:bCs/>
          <w:sz w:val="24"/>
          <w:u w:val="single"/>
        </w:rPr>
        <w:t xml:space="preserve">  上海市</w:t>
      </w:r>
      <w:r>
        <w:rPr>
          <w:rFonts w:hint="eastAsia" w:ascii="Times New Roman" w:hAnsi="Times New Roman" w:eastAsia="宋体" w:cs="Times New Roman"/>
          <w:bCs/>
          <w:sz w:val="24"/>
          <w:u w:val="single"/>
        </w:rPr>
        <w:t>松江区</w:t>
      </w:r>
      <w:r>
        <w:rPr>
          <w:rFonts w:ascii="Times New Roman" w:hAnsi="Times New Roman" w:eastAsia="宋体" w:cs="Times New Roman"/>
          <w:bCs/>
          <w:sz w:val="24"/>
          <w:u w:val="single"/>
        </w:rPr>
        <w:t xml:space="preserve">  </w:t>
      </w:r>
      <w:r>
        <w:rPr>
          <w:rFonts w:ascii="Times New Roman" w:hAnsi="Times New Roman" w:eastAsia="宋体" w:cs="Times New Roman"/>
          <w:bCs/>
          <w:sz w:val="24"/>
        </w:rPr>
        <w:t>。</w:t>
      </w:r>
    </w:p>
    <w:p>
      <w:pPr>
        <w:pStyle w:val="3"/>
        <w:numPr>
          <w:ilvl w:val="0"/>
          <w:numId w:val="8"/>
        </w:numPr>
        <w:spacing w:before="100" w:after="100"/>
        <w:rPr>
          <w:rFonts w:ascii="Times New Roman" w:hAnsi="Times New Roman" w:eastAsia="黑体" w:cs="Times New Roman"/>
          <w:sz w:val="28"/>
          <w:szCs w:val="28"/>
        </w:rPr>
      </w:pPr>
      <w:r>
        <w:rPr>
          <w:rFonts w:ascii="Times New Roman" w:hAnsi="Times New Roman" w:eastAsia="黑体" w:cs="Times New Roman"/>
          <w:sz w:val="28"/>
          <w:szCs w:val="28"/>
        </w:rPr>
        <w:t>验收标准和方式：</w:t>
      </w:r>
    </w:p>
    <w:p>
      <w:pPr>
        <w:spacing w:line="360" w:lineRule="auto"/>
        <w:ind w:firstLine="480" w:firstLineChars="200"/>
        <w:rPr>
          <w:rFonts w:hint="eastAsia" w:ascii="Times New Roman" w:hAnsi="Times New Roman" w:eastAsia="宋体" w:cs="Times New Roman"/>
          <w:bCs/>
          <w:sz w:val="24"/>
          <w:lang w:eastAsia="zh-CN"/>
        </w:rPr>
      </w:pPr>
      <w:r>
        <w:rPr>
          <w:rFonts w:ascii="Times New Roman" w:hAnsi="Times New Roman" w:eastAsia="宋体" w:cs="Times New Roman"/>
          <w:bCs/>
          <w:sz w:val="24"/>
        </w:rPr>
        <w:t>1</w:t>
      </w:r>
      <w:r>
        <w:rPr>
          <w:rFonts w:hint="eastAsia" w:ascii="Times New Roman" w:hAnsi="Times New Roman" w:cs="Times New Roman"/>
          <w:bCs/>
          <w:sz w:val="24"/>
          <w:lang w:val="en-US" w:eastAsia="zh-CN"/>
        </w:rPr>
        <w:t>.</w:t>
      </w:r>
      <w:r>
        <w:rPr>
          <w:rFonts w:ascii="Times New Roman" w:hAnsi="Times New Roman" w:eastAsia="宋体" w:cs="Times New Roman"/>
          <w:bCs/>
          <w:sz w:val="24"/>
        </w:rPr>
        <w:t>验收标准</w:t>
      </w:r>
      <w:r>
        <w:rPr>
          <w:rFonts w:hint="eastAsia" w:ascii="Times New Roman" w:hAnsi="Times New Roman" w:cs="Times New Roman"/>
          <w:bCs/>
          <w:sz w:val="24"/>
          <w:lang w:eastAsia="zh-CN"/>
        </w:rPr>
        <w:t>：</w:t>
      </w:r>
      <w:r>
        <w:rPr>
          <w:rFonts w:hint="eastAsia" w:ascii="Times New Roman" w:hAnsi="Times New Roman" w:eastAsia="宋体" w:cs="Times New Roman"/>
          <w:bCs/>
          <w:kern w:val="28"/>
          <w:sz w:val="24"/>
        </w:rPr>
        <w:t>全部监测分析结果</w:t>
      </w:r>
      <w:r>
        <w:rPr>
          <w:rFonts w:hint="eastAsia" w:ascii="Times New Roman" w:hAnsi="Times New Roman" w:eastAsia="宋体" w:cs="Times New Roman"/>
          <w:bCs/>
          <w:kern w:val="28"/>
          <w:sz w:val="24"/>
          <w:lang w:eastAsia="zh-CN"/>
        </w:rPr>
        <w:t>的</w:t>
      </w:r>
      <w:r>
        <w:rPr>
          <w:rFonts w:hint="eastAsia" w:ascii="Times New Roman" w:hAnsi="Times New Roman" w:eastAsia="宋体" w:cs="Times New Roman"/>
          <w:bCs/>
          <w:kern w:val="28"/>
          <w:sz w:val="24"/>
        </w:rPr>
        <w:t>电子版与纸质版，</w:t>
      </w:r>
      <w:r>
        <w:rPr>
          <w:rFonts w:hint="eastAsia" w:ascii="Times New Roman" w:hAnsi="Times New Roman" w:eastAsia="宋体" w:cs="Times New Roman"/>
          <w:bCs/>
          <w:kern w:val="28"/>
          <w:sz w:val="24"/>
          <w:lang w:eastAsia="zh-CN"/>
        </w:rPr>
        <w:t>其中</w:t>
      </w:r>
      <w:r>
        <w:rPr>
          <w:rFonts w:hint="eastAsia" w:ascii="Times New Roman" w:hAnsi="Times New Roman" w:eastAsia="宋体" w:cs="Times New Roman"/>
          <w:bCs/>
          <w:kern w:val="28"/>
          <w:sz w:val="24"/>
        </w:rPr>
        <w:t>纸质版不少于两份</w:t>
      </w:r>
      <w:r>
        <w:rPr>
          <w:rFonts w:hint="eastAsia" w:ascii="Times New Roman" w:hAnsi="Times New Roman" w:eastAsia="宋体" w:cs="Times New Roman"/>
          <w:bCs/>
          <w:kern w:val="28"/>
          <w:sz w:val="24"/>
          <w:lang w:eastAsia="zh-CN"/>
        </w:rPr>
        <w:t>。</w:t>
      </w:r>
    </w:p>
    <w:p>
      <w:pPr>
        <w:spacing w:line="360" w:lineRule="auto"/>
        <w:ind w:firstLine="480" w:firstLineChars="200"/>
        <w:rPr>
          <w:rFonts w:hint="eastAsia" w:ascii="Times New Roman" w:hAnsi="Times New Roman" w:eastAsia="宋体" w:cs="Times New Roman"/>
          <w:bCs/>
          <w:kern w:val="28"/>
          <w:sz w:val="24"/>
        </w:rPr>
      </w:pPr>
      <w:r>
        <w:rPr>
          <w:rFonts w:ascii="Cambria Math" w:hAnsi="Cambria Math" w:eastAsia="宋体" w:cs="Cambria Math"/>
          <w:bCs/>
          <w:sz w:val="24"/>
        </w:rPr>
        <w:t>①</w:t>
      </w:r>
      <w:r>
        <w:rPr>
          <w:rFonts w:hint="eastAsia" w:ascii="Times New Roman" w:hAnsi="Times New Roman" w:eastAsia="宋体" w:cs="Times New Roman"/>
          <w:bCs/>
          <w:kern w:val="28"/>
          <w:sz w:val="24"/>
        </w:rPr>
        <w:t>《松江区海狸鼠专项监测总结报告》</w:t>
      </w:r>
    </w:p>
    <w:p>
      <w:pPr>
        <w:spacing w:line="360" w:lineRule="auto"/>
        <w:ind w:firstLine="480" w:firstLineChars="200"/>
        <w:rPr>
          <w:rFonts w:hint="eastAsia" w:ascii="Times New Roman" w:hAnsi="Times New Roman" w:eastAsia="宋体" w:cs="Times New Roman"/>
          <w:bCs/>
          <w:kern w:val="28"/>
          <w:sz w:val="24"/>
        </w:rPr>
      </w:pPr>
      <w:r>
        <w:rPr>
          <w:rFonts w:ascii="Cambria Math" w:hAnsi="Cambria Math" w:eastAsia="宋体" w:cs="Cambria Math"/>
          <w:bCs/>
          <w:sz w:val="24"/>
        </w:rPr>
        <w:t>②</w:t>
      </w:r>
      <w:r>
        <w:rPr>
          <w:rFonts w:hint="eastAsia" w:ascii="Times New Roman" w:hAnsi="Times New Roman" w:eastAsia="宋体" w:cs="Times New Roman"/>
          <w:bCs/>
          <w:kern w:val="28"/>
          <w:sz w:val="24"/>
        </w:rPr>
        <w:t>松江区海狸鼠数量分布特征月报告：每月1期，共12期；</w:t>
      </w:r>
    </w:p>
    <w:p>
      <w:pPr>
        <w:spacing w:line="360" w:lineRule="auto"/>
        <w:ind w:firstLine="480" w:firstLineChars="200"/>
        <w:rPr>
          <w:rFonts w:ascii="Times New Roman" w:hAnsi="Times New Roman" w:eastAsia="宋体" w:cs="Times New Roman"/>
          <w:bCs/>
          <w:kern w:val="28"/>
          <w:sz w:val="24"/>
        </w:rPr>
      </w:pPr>
      <w:r>
        <w:rPr>
          <w:rFonts w:hint="eastAsia" w:ascii="东文宋体" w:hAnsi="东文宋体" w:eastAsia="东文宋体" w:cs="东文宋体"/>
          <w:bCs/>
          <w:kern w:val="28"/>
          <w:sz w:val="24"/>
          <w:lang w:eastAsia="zh-CN"/>
        </w:rPr>
        <w:t>③</w:t>
      </w:r>
      <w:r>
        <w:rPr>
          <w:rFonts w:hint="eastAsia" w:ascii="Times New Roman" w:hAnsi="Times New Roman" w:cs="Times New Roman"/>
          <w:bCs/>
          <w:kern w:val="28"/>
          <w:sz w:val="24"/>
          <w:lang w:eastAsia="zh-CN"/>
        </w:rPr>
        <w:t>其他</w:t>
      </w:r>
      <w:r>
        <w:rPr>
          <w:rFonts w:hint="eastAsia" w:ascii="Times New Roman" w:hAnsi="Times New Roman" w:eastAsia="宋体" w:cs="Times New Roman"/>
          <w:bCs/>
          <w:kern w:val="28"/>
          <w:sz w:val="24"/>
        </w:rPr>
        <w:t>调查原始数据、影像资料</w:t>
      </w:r>
      <w:r>
        <w:rPr>
          <w:rFonts w:hint="eastAsia" w:ascii="Times New Roman" w:hAnsi="Times New Roman" w:cs="Times New Roman"/>
          <w:bCs/>
          <w:kern w:val="28"/>
          <w:sz w:val="24"/>
          <w:lang w:val="en-US" w:eastAsia="zh-CN"/>
        </w:rPr>
        <w:t>等</w:t>
      </w:r>
      <w:r>
        <w:rPr>
          <w:rFonts w:ascii="Times New Roman" w:hAnsi="Times New Roman" w:eastAsia="宋体" w:cs="Times New Roman"/>
          <w:bCs/>
          <w:kern w:val="28"/>
          <w:sz w:val="24"/>
        </w:rPr>
        <w:t>。</w:t>
      </w:r>
    </w:p>
    <w:p>
      <w:pPr>
        <w:spacing w:line="360" w:lineRule="auto"/>
        <w:ind w:firstLine="480" w:firstLineChars="200"/>
        <w:rPr>
          <w:rFonts w:ascii="Times New Roman" w:hAnsi="Times New Roman" w:eastAsia="宋体" w:cs="Times New Roman"/>
          <w:bCs/>
          <w:kern w:val="28"/>
          <w:sz w:val="24"/>
        </w:rPr>
      </w:pPr>
      <w:r>
        <w:rPr>
          <w:rFonts w:ascii="Times New Roman" w:hAnsi="Times New Roman" w:eastAsia="宋体" w:cs="Times New Roman"/>
          <w:bCs/>
          <w:sz w:val="24"/>
        </w:rPr>
        <w:t>2</w:t>
      </w:r>
      <w:r>
        <w:rPr>
          <w:rFonts w:hint="eastAsia" w:ascii="Times New Roman" w:hAnsi="Times New Roman" w:cs="Times New Roman"/>
          <w:bCs/>
          <w:sz w:val="24"/>
          <w:lang w:val="en-US" w:eastAsia="zh-CN"/>
        </w:rPr>
        <w:t>.</w:t>
      </w:r>
      <w:r>
        <w:rPr>
          <w:rFonts w:ascii="Times New Roman" w:hAnsi="Times New Roman" w:eastAsia="宋体" w:cs="Times New Roman"/>
          <w:bCs/>
          <w:sz w:val="24"/>
        </w:rPr>
        <w:t>验收方式</w:t>
      </w:r>
      <w:r>
        <w:rPr>
          <w:rFonts w:hint="eastAsia" w:ascii="Times New Roman" w:hAnsi="Times New Roman" w:cs="Times New Roman"/>
          <w:bCs/>
          <w:sz w:val="24"/>
          <w:lang w:eastAsia="zh-CN"/>
        </w:rPr>
        <w:t>：</w:t>
      </w:r>
      <w:r>
        <w:rPr>
          <w:rFonts w:ascii="Times New Roman" w:hAnsi="Times New Roman" w:eastAsia="宋体" w:cs="Times New Roman"/>
          <w:bCs/>
          <w:kern w:val="28"/>
          <w:sz w:val="24"/>
        </w:rPr>
        <w:t>甲方组织验收。</w:t>
      </w:r>
    </w:p>
    <w:p>
      <w:pPr>
        <w:pStyle w:val="3"/>
        <w:numPr>
          <w:ilvl w:val="0"/>
          <w:numId w:val="8"/>
        </w:numPr>
        <w:spacing w:before="100" w:after="100"/>
        <w:rPr>
          <w:rFonts w:ascii="Times New Roman" w:hAnsi="Times New Roman" w:eastAsia="黑体" w:cs="Times New Roman"/>
          <w:sz w:val="28"/>
          <w:szCs w:val="28"/>
        </w:rPr>
      </w:pPr>
      <w:r>
        <w:rPr>
          <w:rFonts w:ascii="Times New Roman" w:hAnsi="Times New Roman" w:eastAsia="黑体" w:cs="Times New Roman"/>
          <w:sz w:val="28"/>
          <w:szCs w:val="28"/>
        </w:rPr>
        <w:t>成交金额及其支付方式：</w:t>
      </w:r>
    </w:p>
    <w:p>
      <w:pPr>
        <w:spacing w:line="360" w:lineRule="auto"/>
        <w:ind w:firstLine="480" w:firstLineChars="200"/>
        <w:rPr>
          <w:rFonts w:ascii="Times New Roman" w:hAnsi="Times New Roman" w:eastAsia="宋体" w:cs="Times New Roman"/>
          <w:bCs/>
          <w:sz w:val="24"/>
        </w:rPr>
      </w:pPr>
      <w:r>
        <w:rPr>
          <w:rFonts w:ascii="Times New Roman" w:hAnsi="Times New Roman" w:eastAsia="宋体" w:cs="Times New Roman"/>
          <w:bCs/>
          <w:sz w:val="24"/>
        </w:rPr>
        <w:t>1</w:t>
      </w:r>
      <w:r>
        <w:rPr>
          <w:rFonts w:hint="eastAsia" w:ascii="Times New Roman" w:hAnsi="Times New Roman" w:cs="Times New Roman"/>
          <w:bCs/>
          <w:sz w:val="24"/>
          <w:lang w:val="en-US" w:eastAsia="zh-CN"/>
        </w:rPr>
        <w:t>.</w:t>
      </w:r>
      <w:r>
        <w:rPr>
          <w:rFonts w:ascii="Times New Roman" w:hAnsi="Times New Roman" w:eastAsia="宋体" w:cs="Times New Roman"/>
          <w:bCs/>
          <w:sz w:val="24"/>
        </w:rPr>
        <w:t>本项目总金额</w:t>
      </w:r>
      <w:r>
        <w:rPr>
          <w:rFonts w:ascii="Times New Roman" w:hAnsi="Times New Roman" w:cs="Times New Roman"/>
          <w:sz w:val="24"/>
        </w:rPr>
        <w:t>：人民币</w:t>
      </w:r>
      <w:r>
        <w:rPr>
          <w:rFonts w:ascii="Times New Roman" w:hAnsi="Times New Roman" w:cs="Times New Roman"/>
          <w:sz w:val="24"/>
          <w:u w:val="single"/>
        </w:rPr>
        <w:t>￥</w:t>
      </w:r>
      <w:r>
        <w:rPr>
          <w:rFonts w:hint="eastAsia" w:ascii="Times New Roman" w:hAnsi="Times New Roman" w:cs="Times New Roman"/>
          <w:sz w:val="24"/>
          <w:u w:val="single"/>
          <w:lang w:val="en-US" w:eastAsia="zh-CN"/>
        </w:rPr>
        <w:t xml:space="preserve">             </w:t>
      </w:r>
      <w:r>
        <w:rPr>
          <w:rFonts w:ascii="Times New Roman" w:hAnsi="Times New Roman" w:cs="Times New Roman"/>
          <w:sz w:val="24"/>
          <w:u w:val="single"/>
        </w:rPr>
        <w:t xml:space="preserve"> </w:t>
      </w:r>
      <w:r>
        <w:rPr>
          <w:rFonts w:hint="eastAsia" w:ascii="Times New Roman" w:hAnsi="Times New Roman" w:cs="Times New Roman"/>
          <w:sz w:val="24"/>
          <w:u w:val="single"/>
        </w:rPr>
        <w:t xml:space="preserve"> </w:t>
      </w:r>
      <w:r>
        <w:rPr>
          <w:rFonts w:ascii="Times New Roman" w:hAnsi="Times New Roman" w:cs="Times New Roman"/>
          <w:sz w:val="24"/>
        </w:rPr>
        <w:t>大写金额：</w:t>
      </w:r>
      <w:r>
        <w:rPr>
          <w:rFonts w:ascii="Times New Roman" w:hAnsi="Times New Roman" w:cs="Times New Roman"/>
          <w:sz w:val="24"/>
          <w:u w:val="single"/>
        </w:rPr>
        <w:t xml:space="preserve"> </w:t>
      </w:r>
      <w:r>
        <w:rPr>
          <w:rFonts w:hint="eastAsia" w:ascii="Times New Roman" w:hAnsi="Times New Roman" w:cs="Times New Roman"/>
          <w:sz w:val="24"/>
          <w:u w:val="single"/>
          <w:lang w:val="en-US" w:eastAsia="zh-CN"/>
        </w:rPr>
        <w:t xml:space="preserve">                        </w:t>
      </w:r>
      <w:r>
        <w:rPr>
          <w:rFonts w:ascii="Times New Roman" w:hAnsi="Times New Roman" w:eastAsia="宋体" w:cs="Times New Roman"/>
          <w:bCs/>
          <w:sz w:val="24"/>
          <w:u w:val="single"/>
        </w:rPr>
        <w:t>（含税）</w:t>
      </w:r>
      <w:r>
        <w:rPr>
          <w:rFonts w:ascii="Times New Roman" w:hAnsi="Times New Roman" w:eastAsia="宋体" w:cs="Times New Roman"/>
          <w:bCs/>
          <w:sz w:val="24"/>
        </w:rPr>
        <w:t>。</w:t>
      </w:r>
    </w:p>
    <w:p>
      <w:pPr>
        <w:spacing w:line="360" w:lineRule="auto"/>
        <w:ind w:firstLine="480" w:firstLineChars="200"/>
        <w:rPr>
          <w:rFonts w:ascii="Times New Roman" w:hAnsi="Times New Roman" w:eastAsia="宋体" w:cs="Times New Roman"/>
          <w:bCs/>
          <w:sz w:val="24"/>
        </w:rPr>
      </w:pPr>
      <w:r>
        <w:rPr>
          <w:rFonts w:ascii="Times New Roman" w:hAnsi="Times New Roman" w:eastAsia="宋体" w:cs="Times New Roman"/>
          <w:bCs/>
          <w:sz w:val="24"/>
        </w:rPr>
        <w:t>2</w:t>
      </w:r>
      <w:r>
        <w:rPr>
          <w:rFonts w:hint="eastAsia" w:ascii="Times New Roman" w:hAnsi="Times New Roman" w:cs="Times New Roman"/>
          <w:bCs/>
          <w:sz w:val="24"/>
          <w:lang w:val="en-US" w:eastAsia="zh-CN"/>
        </w:rPr>
        <w:t>.</w:t>
      </w:r>
      <w:r>
        <w:rPr>
          <w:rFonts w:ascii="Times New Roman" w:hAnsi="Times New Roman" w:eastAsia="宋体" w:cs="Times New Roman"/>
          <w:bCs/>
          <w:sz w:val="24"/>
        </w:rPr>
        <w:t>支付方式：采用以下第</w:t>
      </w:r>
      <w:r>
        <w:rPr>
          <w:rFonts w:ascii="Times New Roman" w:hAnsi="Times New Roman" w:eastAsia="宋体" w:cs="Times New Roman"/>
          <w:bCs/>
          <w:sz w:val="24"/>
          <w:u w:val="single"/>
        </w:rPr>
        <w:t xml:space="preserve"> ② </w:t>
      </w:r>
      <w:r>
        <w:rPr>
          <w:rFonts w:ascii="Times New Roman" w:hAnsi="Times New Roman" w:eastAsia="宋体" w:cs="Times New Roman"/>
          <w:bCs/>
          <w:sz w:val="24"/>
        </w:rPr>
        <w:t>种方式</w:t>
      </w:r>
    </w:p>
    <w:p>
      <w:pPr>
        <w:spacing w:line="360" w:lineRule="auto"/>
        <w:ind w:firstLine="480" w:firstLineChars="200"/>
        <w:rPr>
          <w:rFonts w:ascii="Times New Roman" w:hAnsi="Times New Roman" w:eastAsia="宋体" w:cs="Times New Roman"/>
          <w:sz w:val="24"/>
        </w:rPr>
      </w:pPr>
      <w:r>
        <w:rPr>
          <w:rFonts w:ascii="Cambria Math" w:hAnsi="Cambria Math" w:eastAsia="宋体" w:cs="Cambria Math"/>
          <w:bCs/>
          <w:sz w:val="24"/>
        </w:rPr>
        <w:t>①</w:t>
      </w:r>
      <w:r>
        <w:rPr>
          <w:rFonts w:ascii="Times New Roman" w:hAnsi="Times New Roman" w:eastAsia="宋体" w:cs="Times New Roman"/>
          <w:bCs/>
          <w:sz w:val="24"/>
        </w:rPr>
        <w:t>一次总付：</w:t>
      </w:r>
      <w:r>
        <w:rPr>
          <w:rFonts w:ascii="Times New Roman" w:hAnsi="Times New Roman" w:eastAsia="宋体" w:cs="Times New Roman"/>
          <w:sz w:val="24"/>
        </w:rPr>
        <w:t>人民币</w:t>
      </w:r>
      <w:r>
        <w:rPr>
          <w:rFonts w:ascii="Times New Roman" w:hAnsi="Times New Roman" w:eastAsia="宋体" w:cs="Times New Roman"/>
          <w:sz w:val="24"/>
          <w:u w:val="single"/>
        </w:rPr>
        <w:t xml:space="preserve">    /       </w:t>
      </w:r>
      <w:r>
        <w:rPr>
          <w:rFonts w:ascii="Times New Roman" w:hAnsi="Times New Roman" w:eastAsia="宋体" w:cs="Times New Roman"/>
          <w:sz w:val="24"/>
        </w:rPr>
        <w:t>整（¥</w:t>
      </w:r>
      <w:r>
        <w:rPr>
          <w:rFonts w:ascii="Times New Roman" w:hAnsi="Times New Roman" w:eastAsia="宋体" w:cs="Times New Roman"/>
          <w:sz w:val="24"/>
          <w:u w:val="single"/>
        </w:rPr>
        <w:t xml:space="preserve">     /    </w:t>
      </w:r>
      <w:r>
        <w:rPr>
          <w:rFonts w:ascii="Times New Roman" w:hAnsi="Times New Roman" w:eastAsia="宋体" w:cs="Times New Roman"/>
          <w:sz w:val="24"/>
        </w:rPr>
        <w:t>元）</w:t>
      </w:r>
    </w:p>
    <w:p>
      <w:pPr>
        <w:spacing w:line="360" w:lineRule="auto"/>
        <w:ind w:firstLine="480" w:firstLineChars="200"/>
        <w:rPr>
          <w:rFonts w:ascii="Times New Roman" w:hAnsi="Times New Roman" w:eastAsia="宋体" w:cs="Times New Roman"/>
          <w:sz w:val="24"/>
        </w:rPr>
      </w:pPr>
      <w:r>
        <w:rPr>
          <w:rFonts w:ascii="Cambria Math" w:hAnsi="Cambria Math" w:eastAsia="宋体" w:cs="Cambria Math"/>
          <w:bCs/>
          <w:sz w:val="24"/>
        </w:rPr>
        <w:t>②</w:t>
      </w:r>
      <w:r>
        <w:rPr>
          <w:rFonts w:ascii="Times New Roman" w:hAnsi="Times New Roman" w:eastAsia="宋体" w:cs="Times New Roman"/>
          <w:bCs/>
          <w:sz w:val="24"/>
        </w:rPr>
        <w:t>分批支付：按照考核分</w:t>
      </w:r>
      <w:r>
        <w:rPr>
          <w:rFonts w:ascii="Times New Roman" w:hAnsi="Times New Roman" w:eastAsia="宋体" w:cs="Times New Roman"/>
          <w:bCs/>
          <w:sz w:val="24"/>
          <w:u w:val="single"/>
        </w:rPr>
        <w:t xml:space="preserve">  两  </w:t>
      </w:r>
      <w:r>
        <w:rPr>
          <w:rFonts w:ascii="Times New Roman" w:hAnsi="Times New Roman" w:eastAsia="宋体" w:cs="Times New Roman"/>
          <w:bCs/>
          <w:sz w:val="24"/>
        </w:rPr>
        <w:t>批次付款，第1次付款在</w:t>
      </w:r>
      <w:r>
        <w:rPr>
          <w:rFonts w:hint="eastAsia" w:ascii="Times New Roman" w:hAnsi="Times New Roman" w:cs="Times New Roman"/>
          <w:bCs/>
          <w:sz w:val="24"/>
          <w:lang w:eastAsia="zh-CN"/>
        </w:rPr>
        <w:t>服务周期过半</w:t>
      </w:r>
      <w:r>
        <w:rPr>
          <w:rFonts w:ascii="Times New Roman" w:hAnsi="Times New Roman" w:eastAsia="宋体" w:cs="Times New Roman"/>
          <w:bCs/>
          <w:sz w:val="24"/>
        </w:rPr>
        <w:t>考核后支付，末次付款需项目整体验收通过后支付，按实结算金额。</w:t>
      </w:r>
      <w:r>
        <w:rPr>
          <w:rFonts w:ascii="Times New Roman" w:hAnsi="Times New Roman" w:eastAsia="宋体" w:cs="Times New Roman"/>
          <w:sz w:val="24"/>
        </w:rPr>
        <w:t>在合同履行期限内，如乙方有违约行为，可参照第六条实施履约保证金的扣减。</w:t>
      </w:r>
    </w:p>
    <w:p>
      <w:pPr>
        <w:adjustRightInd w:val="0"/>
        <w:snapToGrid w:val="0"/>
        <w:spacing w:line="360" w:lineRule="auto"/>
        <w:ind w:firstLine="482" w:firstLineChars="200"/>
        <w:rPr>
          <w:rFonts w:ascii="Times New Roman" w:hAnsi="Times New Roman" w:cs="Times New Roman"/>
          <w:b/>
          <w:sz w:val="24"/>
        </w:rPr>
      </w:pPr>
    </w:p>
    <w:p>
      <w:pPr>
        <w:adjustRightInd w:val="0"/>
        <w:snapToGrid w:val="0"/>
        <w:spacing w:line="360" w:lineRule="auto"/>
        <w:ind w:firstLine="482" w:firstLineChars="200"/>
        <w:rPr>
          <w:rFonts w:ascii="Times New Roman" w:hAnsi="Times New Roman" w:eastAsia="宋体" w:cs="Times New Roman"/>
          <w:b/>
          <w:sz w:val="24"/>
        </w:rPr>
      </w:pPr>
      <w:r>
        <w:rPr>
          <w:rFonts w:ascii="Times New Roman" w:hAnsi="Times New Roman" w:cs="Times New Roman"/>
          <w:b/>
          <w:sz w:val="24"/>
        </w:rPr>
        <w:t>账户信息如下：</w:t>
      </w:r>
    </w:p>
    <w:p>
      <w:pPr>
        <w:adjustRightInd w:val="0"/>
        <w:snapToGrid w:val="0"/>
        <w:spacing w:line="360" w:lineRule="auto"/>
        <w:ind w:firstLine="482" w:firstLineChars="200"/>
        <w:jc w:val="left"/>
        <w:rPr>
          <w:rFonts w:ascii="Times New Roman" w:hAnsi="Times New Roman" w:cs="Times New Roman"/>
          <w:b/>
          <w:sz w:val="24"/>
        </w:rPr>
      </w:pPr>
      <w:r>
        <w:rPr>
          <w:rFonts w:ascii="Times New Roman" w:hAnsi="Times New Roman" w:cs="Times New Roman"/>
          <w:b/>
          <w:sz w:val="24"/>
        </w:rPr>
        <w:t>公司名称：</w:t>
      </w:r>
    </w:p>
    <w:p>
      <w:pPr>
        <w:adjustRightInd w:val="0"/>
        <w:snapToGrid w:val="0"/>
        <w:spacing w:line="360" w:lineRule="auto"/>
        <w:ind w:firstLine="482" w:firstLineChars="200"/>
        <w:jc w:val="left"/>
        <w:rPr>
          <w:rFonts w:ascii="Times New Roman" w:hAnsi="Times New Roman" w:cs="Times New Roman"/>
          <w:b/>
          <w:sz w:val="24"/>
        </w:rPr>
      </w:pPr>
      <w:r>
        <w:rPr>
          <w:rFonts w:ascii="Times New Roman" w:hAnsi="Times New Roman" w:cs="Times New Roman"/>
          <w:b/>
          <w:sz w:val="24"/>
        </w:rPr>
        <w:t>银行账号：</w:t>
      </w:r>
    </w:p>
    <w:p>
      <w:pPr>
        <w:adjustRightInd w:val="0"/>
        <w:snapToGrid w:val="0"/>
        <w:spacing w:line="360" w:lineRule="auto"/>
        <w:ind w:firstLine="482" w:firstLineChars="200"/>
        <w:jc w:val="left"/>
        <w:rPr>
          <w:rFonts w:ascii="Times New Roman" w:hAnsi="Times New Roman" w:cs="Times New Roman"/>
          <w:sz w:val="24"/>
        </w:rPr>
      </w:pPr>
      <w:r>
        <w:rPr>
          <w:rFonts w:ascii="Times New Roman" w:hAnsi="Times New Roman" w:cs="Times New Roman"/>
          <w:b/>
          <w:sz w:val="24"/>
        </w:rPr>
        <w:t>开户银行：</w:t>
      </w:r>
    </w:p>
    <w:p>
      <w:pPr>
        <w:pStyle w:val="3"/>
        <w:numPr>
          <w:ilvl w:val="0"/>
          <w:numId w:val="8"/>
        </w:numPr>
        <w:spacing w:before="100" w:after="100"/>
        <w:rPr>
          <w:rFonts w:ascii="Times New Roman" w:hAnsi="Times New Roman" w:eastAsia="黑体" w:cs="Times New Roman"/>
          <w:sz w:val="28"/>
          <w:szCs w:val="28"/>
        </w:rPr>
      </w:pPr>
      <w:r>
        <w:rPr>
          <w:rFonts w:ascii="Times New Roman" w:hAnsi="Times New Roman" w:eastAsia="黑体" w:cs="Times New Roman"/>
          <w:sz w:val="28"/>
          <w:szCs w:val="28"/>
        </w:rPr>
        <w:t>违约金或者损失赔偿额的计算方法：</w:t>
      </w:r>
    </w:p>
    <w:p>
      <w:pPr>
        <w:spacing w:line="360" w:lineRule="auto"/>
        <w:ind w:firstLine="480" w:firstLineChars="200"/>
        <w:rPr>
          <w:rFonts w:ascii="Times New Roman" w:hAnsi="Times New Roman" w:eastAsia="宋体" w:cs="Times New Roman"/>
          <w:bCs/>
          <w:kern w:val="28"/>
          <w:sz w:val="24"/>
        </w:rPr>
      </w:pPr>
      <w:r>
        <w:rPr>
          <w:rFonts w:ascii="Times New Roman" w:hAnsi="Times New Roman" w:eastAsia="宋体" w:cs="Times New Roman"/>
          <w:bCs/>
          <w:kern w:val="28"/>
          <w:sz w:val="24"/>
        </w:rPr>
        <w:t>违反本合同约定，违约方应当按照《中华人民共和国民法典》合同编的有关条款规定，承担违约责任。</w:t>
      </w:r>
    </w:p>
    <w:p>
      <w:pPr>
        <w:spacing w:line="360" w:lineRule="auto"/>
        <w:ind w:firstLine="480" w:firstLineChars="200"/>
        <w:rPr>
          <w:rFonts w:ascii="Times New Roman" w:hAnsi="Times New Roman" w:eastAsia="宋体" w:cs="Times New Roman"/>
          <w:bCs/>
          <w:kern w:val="28"/>
          <w:sz w:val="24"/>
        </w:rPr>
      </w:pPr>
      <w:r>
        <w:rPr>
          <w:rFonts w:hint="eastAsia" w:ascii="Times New Roman" w:hAnsi="Times New Roman" w:eastAsia="宋体" w:cs="Times New Roman"/>
          <w:bCs/>
          <w:kern w:val="28"/>
          <w:sz w:val="24"/>
          <w:lang w:eastAsia="zh-CN"/>
        </w:rPr>
        <w:t>（一）</w:t>
      </w:r>
      <w:r>
        <w:rPr>
          <w:rFonts w:ascii="Times New Roman" w:hAnsi="Times New Roman" w:eastAsia="宋体" w:cs="Times New Roman"/>
          <w:bCs/>
          <w:kern w:val="28"/>
          <w:sz w:val="24"/>
        </w:rPr>
        <w:t>合同生效后，甲方不得无故终止合同履行。若甲方执意终止合同，应按乙方已开展的实际工作量支付乙方费用。若该费用低于本合同总额20%，按合同报酬总额20%计。实际工作量乙方给出书面说明和相关依据。</w:t>
      </w:r>
    </w:p>
    <w:p>
      <w:pPr>
        <w:spacing w:line="360" w:lineRule="auto"/>
        <w:ind w:firstLine="480" w:firstLineChars="200"/>
        <w:rPr>
          <w:rFonts w:ascii="Times New Roman" w:hAnsi="Times New Roman" w:eastAsia="宋体" w:cs="Times New Roman"/>
          <w:bCs/>
          <w:kern w:val="28"/>
          <w:sz w:val="24"/>
        </w:rPr>
      </w:pPr>
      <w:r>
        <w:rPr>
          <w:rFonts w:ascii="Times New Roman" w:hAnsi="Times New Roman" w:eastAsia="宋体" w:cs="Times New Roman"/>
          <w:bCs/>
          <w:kern w:val="28"/>
          <w:sz w:val="24"/>
        </w:rPr>
        <w:t>（二）合同生效后，乙方不得无故中途解除合同；若乙方执意解除合同，应全额退还甲方支付的</w:t>
      </w:r>
      <w:r>
        <w:rPr>
          <w:rFonts w:hint="eastAsia" w:ascii="Times New Roman" w:hAnsi="Times New Roman" w:eastAsia="宋体" w:cs="Times New Roman"/>
          <w:bCs/>
          <w:kern w:val="28"/>
          <w:sz w:val="24"/>
          <w:lang w:eastAsia="zh-CN"/>
        </w:rPr>
        <w:t>服务</w:t>
      </w:r>
      <w:r>
        <w:rPr>
          <w:rFonts w:ascii="Times New Roman" w:hAnsi="Times New Roman" w:eastAsia="宋体" w:cs="Times New Roman"/>
          <w:bCs/>
          <w:kern w:val="28"/>
          <w:sz w:val="24"/>
        </w:rPr>
        <w:t>费用。若该费用低于本合同总额20%，按合同报酬总额20%计。</w:t>
      </w:r>
    </w:p>
    <w:p>
      <w:pPr>
        <w:spacing w:line="360" w:lineRule="auto"/>
        <w:ind w:firstLine="480" w:firstLineChars="200"/>
        <w:rPr>
          <w:rFonts w:ascii="Times New Roman" w:hAnsi="Times New Roman" w:eastAsia="宋体" w:cs="Times New Roman"/>
          <w:bCs/>
          <w:kern w:val="28"/>
          <w:sz w:val="24"/>
        </w:rPr>
      </w:pPr>
      <w:r>
        <w:rPr>
          <w:rFonts w:ascii="Times New Roman" w:hAnsi="Times New Roman" w:eastAsia="宋体" w:cs="Times New Roman"/>
          <w:bCs/>
          <w:kern w:val="28"/>
          <w:sz w:val="24"/>
        </w:rPr>
        <w:t>（三）其它：</w:t>
      </w:r>
    </w:p>
    <w:p>
      <w:pPr>
        <w:adjustRightInd w:val="0"/>
        <w:snapToGrid w:val="0"/>
        <w:spacing w:line="360" w:lineRule="auto"/>
        <w:ind w:firstLine="480" w:firstLineChars="200"/>
        <w:rPr>
          <w:rFonts w:ascii="Times New Roman" w:hAnsi="Times New Roman" w:eastAsia="宋体" w:cs="Times New Roman"/>
          <w:sz w:val="24"/>
        </w:rPr>
      </w:pPr>
      <w:r>
        <w:rPr>
          <w:rFonts w:ascii="Times New Roman" w:hAnsi="Times New Roman" w:eastAsia="宋体" w:cs="Times New Roman"/>
          <w:sz w:val="24"/>
        </w:rPr>
        <w:t>1．甲、乙双方应认真履行合同，由于某一方的故意或过失使合同不能履行或造成其它后果的，由违约方承担相应责任；如在项目实施过程中，乙方违约情节严重，甲方有权终止合同，由此造成甲方的经济损失由乙方承担。如属双方过失，则根据各自过失的大小，分别承担相应的责任。</w:t>
      </w:r>
    </w:p>
    <w:p>
      <w:pPr>
        <w:adjustRightInd w:val="0"/>
        <w:snapToGrid w:val="0"/>
        <w:spacing w:line="360" w:lineRule="auto"/>
        <w:ind w:firstLine="480" w:firstLineChars="200"/>
        <w:rPr>
          <w:rFonts w:ascii="Times New Roman" w:hAnsi="Times New Roman" w:eastAsia="宋体" w:cs="Times New Roman"/>
          <w:sz w:val="24"/>
        </w:rPr>
      </w:pPr>
      <w:r>
        <w:rPr>
          <w:rFonts w:ascii="Times New Roman" w:hAnsi="Times New Roman" w:eastAsia="宋体" w:cs="Times New Roman"/>
          <w:sz w:val="24"/>
        </w:rPr>
        <w:t>2．由于不可抗力造成合同不能履行时，遭受不可抗力影响的一方应采取积极的措施，并向另一方书面说明，就此情况下造成的合同延期履行、中止或提前终止，甲、乙双方均不承担责任。如造成任何一方损失的，则由损失方自理。</w:t>
      </w:r>
    </w:p>
    <w:p>
      <w:pPr>
        <w:spacing w:line="360" w:lineRule="auto"/>
        <w:ind w:firstLine="480" w:firstLineChars="200"/>
        <w:rPr>
          <w:rFonts w:ascii="Times New Roman" w:hAnsi="Times New Roman" w:eastAsia="宋体" w:cs="Times New Roman"/>
          <w:sz w:val="24"/>
        </w:rPr>
      </w:pPr>
      <w:r>
        <w:rPr>
          <w:rFonts w:ascii="Times New Roman" w:hAnsi="Times New Roman" w:eastAsia="宋体" w:cs="Times New Roman"/>
          <w:sz w:val="24"/>
        </w:rPr>
        <w:t>3．为贯彻落实廉政要求，维护采购结果的公正性，保证合同顺利履行，乙方在本项目中需按照《廉洁履约承诺书》相关要求严格约束自身行为，遵守廉洁承诺为本合同履行不可分割的一部分。若乙方违背上述条款，甲方有权视情节轻重，扣除相应合同款项或者单方解除合同并要求乙方对合同解除给甲方造成的损失进行赔偿。</w:t>
      </w:r>
    </w:p>
    <w:p>
      <w:pPr>
        <w:pStyle w:val="3"/>
        <w:numPr>
          <w:ilvl w:val="0"/>
          <w:numId w:val="8"/>
        </w:numPr>
        <w:spacing w:before="100" w:after="100"/>
        <w:rPr>
          <w:rFonts w:ascii="Times New Roman" w:hAnsi="Times New Roman" w:eastAsia="黑体" w:cs="Times New Roman"/>
          <w:sz w:val="28"/>
          <w:szCs w:val="28"/>
        </w:rPr>
      </w:pPr>
      <w:r>
        <w:rPr>
          <w:rFonts w:ascii="Times New Roman" w:hAnsi="Times New Roman" w:eastAsia="黑体" w:cs="Times New Roman"/>
          <w:sz w:val="28"/>
          <w:szCs w:val="28"/>
        </w:rPr>
        <w:t>解决合同纠纷的方式：</w:t>
      </w:r>
    </w:p>
    <w:p>
      <w:pPr>
        <w:spacing w:line="360" w:lineRule="auto"/>
        <w:ind w:firstLine="480" w:firstLineChars="200"/>
        <w:rPr>
          <w:rFonts w:ascii="Times New Roman" w:hAnsi="Times New Roman" w:eastAsia="宋体" w:cs="Times New Roman"/>
          <w:bCs/>
          <w:kern w:val="28"/>
          <w:sz w:val="24"/>
        </w:rPr>
      </w:pPr>
      <w:r>
        <w:rPr>
          <w:rFonts w:ascii="Times New Roman" w:hAnsi="Times New Roman" w:eastAsia="宋体" w:cs="Times New Roman"/>
          <w:bCs/>
          <w:kern w:val="28"/>
          <w:sz w:val="24"/>
        </w:rPr>
        <w:t>在履行本合同过程中发生争议，当事人双方可以协商，通过和解或者调解解决。当事人不愿协商、和解、调解或者和解、调解不成，采用以下第（二）种方式解决。</w:t>
      </w:r>
    </w:p>
    <w:p>
      <w:pPr>
        <w:numPr>
          <w:ilvl w:val="0"/>
          <w:numId w:val="10"/>
        </w:numPr>
        <w:spacing w:line="360" w:lineRule="auto"/>
        <w:ind w:firstLine="480" w:firstLineChars="200"/>
        <w:rPr>
          <w:rFonts w:ascii="Times New Roman" w:hAnsi="Times New Roman" w:eastAsia="宋体" w:cs="Times New Roman"/>
          <w:sz w:val="24"/>
        </w:rPr>
      </w:pPr>
      <w:r>
        <w:rPr>
          <w:rFonts w:ascii="Times New Roman" w:hAnsi="Times New Roman" w:eastAsia="宋体" w:cs="Times New Roman"/>
          <w:sz w:val="24"/>
        </w:rPr>
        <w:t>双方同意由</w:t>
      </w:r>
      <w:r>
        <w:rPr>
          <w:rFonts w:ascii="Times New Roman" w:hAnsi="Times New Roman" w:eastAsia="宋体" w:cs="Times New Roman"/>
          <w:sz w:val="24"/>
          <w:u w:val="single"/>
        </w:rPr>
        <w:t xml:space="preserve">   /   </w:t>
      </w:r>
      <w:r>
        <w:rPr>
          <w:rFonts w:ascii="Times New Roman" w:hAnsi="Times New Roman" w:eastAsia="宋体" w:cs="Times New Roman"/>
          <w:sz w:val="24"/>
        </w:rPr>
        <w:t>仲裁委员会仲裁。</w:t>
      </w:r>
    </w:p>
    <w:p>
      <w:pPr>
        <w:spacing w:line="360" w:lineRule="auto"/>
        <w:ind w:firstLine="480" w:firstLineChars="200"/>
        <w:rPr>
          <w:rFonts w:ascii="Times New Roman" w:hAnsi="Times New Roman" w:eastAsia="宋体" w:cs="Times New Roman"/>
          <w:sz w:val="24"/>
        </w:rPr>
      </w:pPr>
      <w:r>
        <w:rPr>
          <w:rFonts w:ascii="Times New Roman" w:hAnsi="Times New Roman" w:eastAsia="宋体" w:cs="Times New Roman"/>
          <w:sz w:val="24"/>
        </w:rPr>
        <w:t>（二）向人民法院起诉，约定</w:t>
      </w:r>
      <w:r>
        <w:rPr>
          <w:rFonts w:ascii="Times New Roman" w:hAnsi="Times New Roman" w:eastAsia="宋体" w:cs="Times New Roman"/>
          <w:bCs/>
          <w:sz w:val="24"/>
          <w:u w:val="single"/>
        </w:rPr>
        <w:t xml:space="preserve">  ②  </w:t>
      </w:r>
      <w:r>
        <w:rPr>
          <w:rFonts w:ascii="Times New Roman" w:hAnsi="Times New Roman" w:eastAsia="宋体" w:cs="Times New Roman"/>
          <w:sz w:val="24"/>
        </w:rPr>
        <w:t>人民法院管辖。</w:t>
      </w:r>
    </w:p>
    <w:p>
      <w:pPr>
        <w:spacing w:line="360" w:lineRule="auto"/>
        <w:ind w:firstLine="480" w:firstLineChars="200"/>
        <w:rPr>
          <w:rFonts w:ascii="Times New Roman" w:hAnsi="Times New Roman" w:eastAsia="宋体" w:cs="Times New Roman"/>
          <w:sz w:val="24"/>
        </w:rPr>
      </w:pPr>
      <w:r>
        <w:rPr>
          <w:rFonts w:ascii="Cambria Math" w:hAnsi="Cambria Math" w:eastAsia="宋体" w:cs="Cambria Math"/>
          <w:sz w:val="24"/>
        </w:rPr>
        <w:t>①</w:t>
      </w:r>
      <w:r>
        <w:rPr>
          <w:rFonts w:ascii="Times New Roman" w:hAnsi="Times New Roman" w:eastAsia="宋体" w:cs="Times New Roman"/>
          <w:sz w:val="24"/>
        </w:rPr>
        <w:t>被告住所地   ②合同履行地   ③合同签订地</w:t>
      </w:r>
    </w:p>
    <w:p>
      <w:pPr>
        <w:spacing w:line="360" w:lineRule="auto"/>
        <w:ind w:firstLine="480" w:firstLineChars="200"/>
        <w:rPr>
          <w:rFonts w:ascii="Times New Roman" w:hAnsi="Times New Roman" w:eastAsia="宋体" w:cs="Times New Roman"/>
          <w:sz w:val="24"/>
        </w:rPr>
      </w:pPr>
      <w:r>
        <w:rPr>
          <w:rFonts w:ascii="Cambria Math" w:hAnsi="Cambria Math" w:eastAsia="宋体" w:cs="Cambria Math"/>
          <w:sz w:val="24"/>
        </w:rPr>
        <w:t>④</w:t>
      </w:r>
      <w:r>
        <w:rPr>
          <w:rFonts w:ascii="Times New Roman" w:hAnsi="Times New Roman" w:eastAsia="宋体" w:cs="Times New Roman"/>
          <w:sz w:val="24"/>
        </w:rPr>
        <w:t>原告住所地   ⑤标的物所在地</w:t>
      </w:r>
    </w:p>
    <w:p>
      <w:pPr>
        <w:pStyle w:val="3"/>
        <w:numPr>
          <w:ilvl w:val="0"/>
          <w:numId w:val="8"/>
        </w:numPr>
        <w:spacing w:before="100" w:after="100"/>
        <w:rPr>
          <w:rFonts w:ascii="Times New Roman" w:hAnsi="Times New Roman" w:eastAsia="黑体" w:cs="Times New Roman"/>
          <w:sz w:val="28"/>
          <w:szCs w:val="28"/>
        </w:rPr>
      </w:pPr>
      <w:r>
        <w:rPr>
          <w:rFonts w:ascii="Times New Roman" w:hAnsi="Times New Roman" w:eastAsia="黑体" w:cs="Times New Roman"/>
          <w:sz w:val="28"/>
          <w:szCs w:val="28"/>
        </w:rPr>
        <w:t>其它条款</w:t>
      </w:r>
    </w:p>
    <w:p>
      <w:pPr>
        <w:spacing w:line="360" w:lineRule="auto"/>
        <w:ind w:firstLine="480" w:firstLineChars="200"/>
        <w:rPr>
          <w:rFonts w:ascii="Times New Roman" w:hAnsi="Times New Roman" w:eastAsia="宋体" w:cs="Times New Roman"/>
          <w:bCs/>
          <w:kern w:val="28"/>
          <w:sz w:val="24"/>
        </w:rPr>
      </w:pPr>
      <w:r>
        <w:rPr>
          <w:rFonts w:hint="eastAsia" w:ascii="Times New Roman" w:hAnsi="Times New Roman" w:eastAsia="宋体" w:cs="Times New Roman"/>
          <w:bCs/>
          <w:kern w:val="28"/>
          <w:sz w:val="24"/>
          <w:lang w:val="en-US" w:eastAsia="zh-CN"/>
        </w:rPr>
        <w:t>1.</w:t>
      </w:r>
      <w:r>
        <w:rPr>
          <w:rFonts w:ascii="Times New Roman" w:hAnsi="Times New Roman" w:eastAsia="宋体" w:cs="Times New Roman"/>
          <w:bCs/>
          <w:kern w:val="28"/>
          <w:sz w:val="24"/>
        </w:rPr>
        <w:t>本合同全部附件为合同的组成部分，经过招投标的项目，招投标文件视为合同的一部分，并与合同一起阅读和解释；有线上合同的项目，本合同为该线上合同的补充。</w:t>
      </w:r>
    </w:p>
    <w:p>
      <w:pPr>
        <w:spacing w:line="360" w:lineRule="auto"/>
        <w:ind w:firstLine="480" w:firstLineChars="200"/>
        <w:rPr>
          <w:rFonts w:ascii="Times New Roman" w:hAnsi="Times New Roman" w:eastAsia="宋体" w:cs="Times New Roman"/>
          <w:bCs/>
          <w:kern w:val="28"/>
          <w:sz w:val="24"/>
        </w:rPr>
      </w:pPr>
      <w:r>
        <w:rPr>
          <w:rFonts w:hint="eastAsia" w:ascii="Times New Roman" w:hAnsi="Times New Roman" w:eastAsia="宋体" w:cs="Times New Roman"/>
          <w:bCs/>
          <w:kern w:val="28"/>
          <w:sz w:val="24"/>
          <w:lang w:val="en-US" w:eastAsia="zh-CN"/>
        </w:rPr>
        <w:t>2.</w:t>
      </w:r>
      <w:r>
        <w:rPr>
          <w:rFonts w:ascii="Times New Roman" w:hAnsi="Times New Roman" w:eastAsia="宋体" w:cs="Times New Roman"/>
          <w:bCs/>
          <w:kern w:val="28"/>
          <w:sz w:val="24"/>
        </w:rPr>
        <w:t>若合同执行过程中，因甲方需要导致的项目内容发生变动，其中工作量及合同金额增加10%（含）以内的，乙方不再另行收费；其中工作量及合同金额增加超过10%的，双方协商解决。</w:t>
      </w:r>
    </w:p>
    <w:p>
      <w:pPr>
        <w:spacing w:line="360" w:lineRule="auto"/>
        <w:ind w:firstLine="480" w:firstLineChars="200"/>
        <w:rPr>
          <w:rFonts w:ascii="Times New Roman" w:hAnsi="Times New Roman" w:eastAsia="宋体" w:cs="Times New Roman"/>
          <w:bCs/>
          <w:kern w:val="28"/>
          <w:sz w:val="24"/>
        </w:rPr>
      </w:pPr>
      <w:r>
        <w:rPr>
          <w:rFonts w:hint="eastAsia" w:ascii="Times New Roman" w:hAnsi="Times New Roman" w:eastAsia="宋体" w:cs="Times New Roman"/>
          <w:bCs/>
          <w:kern w:val="28"/>
          <w:sz w:val="24"/>
          <w:lang w:val="en-US" w:eastAsia="zh-CN"/>
        </w:rPr>
        <w:t>3.</w:t>
      </w:r>
      <w:r>
        <w:rPr>
          <w:rFonts w:ascii="Times New Roman" w:hAnsi="Times New Roman" w:eastAsia="宋体" w:cs="Times New Roman"/>
          <w:bCs/>
          <w:kern w:val="28"/>
          <w:sz w:val="24"/>
        </w:rPr>
        <w:t>项目款应实行专款专用，并符合财政相关管理规定，用于项目实施期间所有人工、试剂与材料使用、设施与设备使用、交通费、管理费、保险费、利润及税金等费用。</w:t>
      </w:r>
    </w:p>
    <w:p>
      <w:pPr>
        <w:spacing w:line="360" w:lineRule="auto"/>
        <w:ind w:firstLine="480" w:firstLineChars="200"/>
        <w:rPr>
          <w:rFonts w:ascii="Times New Roman" w:hAnsi="Times New Roman" w:eastAsia="宋体" w:cs="Times New Roman"/>
          <w:bCs/>
          <w:kern w:val="28"/>
          <w:sz w:val="24"/>
        </w:rPr>
      </w:pPr>
      <w:r>
        <w:rPr>
          <w:rFonts w:hint="eastAsia" w:ascii="Times New Roman" w:hAnsi="Times New Roman" w:eastAsia="宋体" w:cs="Times New Roman"/>
          <w:bCs/>
          <w:kern w:val="28"/>
          <w:sz w:val="24"/>
          <w:lang w:val="en-US" w:eastAsia="zh-CN"/>
        </w:rPr>
        <w:t>4.</w:t>
      </w:r>
      <w:r>
        <w:rPr>
          <w:rFonts w:ascii="Times New Roman" w:hAnsi="Times New Roman" w:eastAsia="宋体" w:cs="Times New Roman"/>
          <w:bCs/>
          <w:kern w:val="28"/>
          <w:sz w:val="24"/>
        </w:rPr>
        <w:t>乙方工作和服务成果的知识产权归甲方所有，乙方保证其工作和服务成果未侵犯他人的知识产权。</w:t>
      </w:r>
    </w:p>
    <w:p>
      <w:pPr>
        <w:spacing w:line="360" w:lineRule="auto"/>
        <w:ind w:firstLine="480" w:firstLineChars="200"/>
        <w:rPr>
          <w:rFonts w:ascii="Times New Roman" w:hAnsi="Times New Roman" w:eastAsia="宋体" w:cs="Times New Roman"/>
          <w:bCs/>
          <w:kern w:val="28"/>
          <w:sz w:val="24"/>
        </w:rPr>
      </w:pPr>
      <w:r>
        <w:rPr>
          <w:rFonts w:hint="eastAsia" w:ascii="Times New Roman" w:hAnsi="Times New Roman" w:eastAsia="宋体" w:cs="Times New Roman"/>
          <w:bCs/>
          <w:kern w:val="28"/>
          <w:sz w:val="24"/>
          <w:lang w:val="en-US" w:eastAsia="zh-CN"/>
        </w:rPr>
        <w:t>5.</w:t>
      </w:r>
      <w:r>
        <w:rPr>
          <w:rFonts w:ascii="Times New Roman" w:hAnsi="Times New Roman" w:eastAsia="宋体" w:cs="Times New Roman"/>
          <w:bCs/>
          <w:kern w:val="28"/>
          <w:sz w:val="24"/>
        </w:rPr>
        <w:t>如为提前采购项目，采购项目预算金额以财政当年度实际批复为准。如财政实际批复金额低于成交金额，则成交金额以财政实际批复为准（双方签订补充协议）；如有异议，双方友好协商解决。</w:t>
      </w:r>
    </w:p>
    <w:p>
      <w:pPr>
        <w:spacing w:line="360" w:lineRule="auto"/>
        <w:ind w:firstLine="480" w:firstLineChars="200"/>
        <w:rPr>
          <w:rFonts w:ascii="Times New Roman" w:hAnsi="Times New Roman" w:eastAsia="宋体" w:cs="Times New Roman"/>
          <w:bCs/>
          <w:kern w:val="28"/>
          <w:sz w:val="24"/>
        </w:rPr>
      </w:pPr>
      <w:r>
        <w:rPr>
          <w:rFonts w:hint="eastAsia" w:ascii="Times New Roman" w:hAnsi="Times New Roman" w:eastAsia="宋体" w:cs="Times New Roman"/>
          <w:bCs/>
          <w:kern w:val="28"/>
          <w:sz w:val="24"/>
          <w:lang w:val="en-US" w:eastAsia="zh-CN"/>
        </w:rPr>
        <w:t>6.</w:t>
      </w:r>
      <w:r>
        <w:rPr>
          <w:rFonts w:ascii="Times New Roman" w:hAnsi="Times New Roman" w:eastAsia="宋体" w:cs="Times New Roman"/>
          <w:bCs/>
          <w:kern w:val="28"/>
          <w:sz w:val="24"/>
        </w:rPr>
        <w:t>乙方承诺同意：如遇特殊情况，甲方可要求乙方适当延长服务时间并通知乙方，延长服务期间产生的服务费，由下年度服务提供方按实际延长的工作量，在延长服务期结束后90日内向乙方支付，支付金额=（下年度合同总额/下年度总工作量）×实际延长工作量，具体收、付款及开票等事宜由乙方与下年度服务提供方协商执行。同时，如存在上年度服务工作延长情况的，乙方有义务在延长服务期结束后90日内根据实际延长的工作量，及时、足额向上年度服务提供方支付相关费用。</w:t>
      </w:r>
    </w:p>
    <w:p>
      <w:pPr>
        <w:spacing w:line="360" w:lineRule="auto"/>
        <w:ind w:firstLine="480" w:firstLineChars="200"/>
        <w:rPr>
          <w:rFonts w:ascii="Times New Roman" w:hAnsi="Times New Roman" w:eastAsia="宋体" w:cs="Times New Roman"/>
          <w:bCs/>
          <w:kern w:val="28"/>
          <w:sz w:val="24"/>
        </w:rPr>
      </w:pPr>
      <w:r>
        <w:rPr>
          <w:rFonts w:hint="eastAsia" w:ascii="Times New Roman" w:hAnsi="Times New Roman" w:eastAsia="宋体" w:cs="Times New Roman"/>
          <w:bCs/>
          <w:kern w:val="28"/>
          <w:sz w:val="24"/>
          <w:lang w:val="en-US" w:eastAsia="zh-CN"/>
        </w:rPr>
        <w:t>7.</w:t>
      </w:r>
      <w:r>
        <w:rPr>
          <w:rFonts w:ascii="Times New Roman" w:hAnsi="Times New Roman" w:eastAsia="宋体" w:cs="Times New Roman"/>
          <w:bCs/>
          <w:kern w:val="28"/>
          <w:sz w:val="24"/>
        </w:rPr>
        <w:t>本合同经合同各方盖章后生效。本合同有未尽事宜或合同生效后，合同履行的基础条件发生重大变更的，可由双方协商并通过签订补充合同的方式对相关内容予以变更确认。</w:t>
      </w:r>
    </w:p>
    <w:p>
      <w:pPr>
        <w:spacing w:line="360" w:lineRule="auto"/>
        <w:ind w:firstLine="480" w:firstLineChars="200"/>
        <w:rPr>
          <w:rFonts w:ascii="Times New Roman" w:hAnsi="Times New Roman" w:eastAsia="宋体" w:cs="Times New Roman"/>
          <w:bCs/>
          <w:kern w:val="28"/>
          <w:sz w:val="24"/>
        </w:rPr>
      </w:pPr>
      <w:r>
        <w:rPr>
          <w:rFonts w:hint="eastAsia" w:ascii="Times New Roman" w:hAnsi="Times New Roman" w:eastAsia="宋体" w:cs="Times New Roman"/>
          <w:bCs/>
          <w:kern w:val="28"/>
          <w:sz w:val="24"/>
          <w:lang w:val="en-US" w:eastAsia="zh-CN"/>
        </w:rPr>
        <w:t>8.</w:t>
      </w:r>
      <w:r>
        <w:rPr>
          <w:rFonts w:ascii="Times New Roman" w:hAnsi="Times New Roman" w:eastAsia="宋体" w:cs="Times New Roman"/>
          <w:bCs/>
          <w:kern w:val="28"/>
          <w:sz w:val="24"/>
        </w:rPr>
        <w:t>本合同一式</w:t>
      </w:r>
      <w:r>
        <w:rPr>
          <w:rFonts w:ascii="Times New Roman" w:hAnsi="Times New Roman" w:eastAsia="宋体" w:cs="Times New Roman"/>
          <w:bCs/>
          <w:kern w:val="28"/>
          <w:sz w:val="24"/>
          <w:u w:val="single"/>
        </w:rPr>
        <w:t xml:space="preserve">  四  </w:t>
      </w:r>
      <w:r>
        <w:rPr>
          <w:rFonts w:ascii="Times New Roman" w:hAnsi="Times New Roman" w:eastAsia="宋体" w:cs="Times New Roman"/>
          <w:bCs/>
          <w:kern w:val="28"/>
          <w:sz w:val="24"/>
        </w:rPr>
        <w:t>份，并且从合同签订日期起生效。</w:t>
      </w:r>
    </w:p>
    <w:p>
      <w:pPr>
        <w:tabs>
          <w:tab w:val="left" w:pos="617"/>
        </w:tabs>
        <w:snapToGrid w:val="0"/>
        <w:spacing w:line="360" w:lineRule="auto"/>
        <w:rPr>
          <w:rFonts w:ascii="Times New Roman" w:hAnsi="Times New Roman" w:eastAsia="宋体" w:cs="Times New Roman"/>
          <w:sz w:val="24"/>
        </w:rPr>
      </w:pPr>
      <w:r>
        <w:rPr>
          <w:rFonts w:ascii="Times New Roman" w:hAnsi="Times New Roman" w:eastAsia="宋体" w:cs="Times New Roman"/>
          <w:sz w:val="24"/>
        </w:rPr>
        <w:t xml:space="preserve">   上述条款未尽事宜，双方协商解决。</w:t>
      </w:r>
    </w:p>
    <w:p>
      <w:pPr>
        <w:pStyle w:val="4"/>
      </w:pPr>
    </w:p>
    <w:p>
      <w:pPr>
        <w:widowControl/>
        <w:spacing w:line="360" w:lineRule="auto"/>
        <w:ind w:firstLine="480"/>
        <w:jc w:val="left"/>
        <w:rPr>
          <w:rFonts w:ascii="仿宋" w:hAnsi="仿宋" w:eastAsia="仿宋" w:cs="仿宋"/>
          <w:kern w:val="0"/>
          <w:sz w:val="24"/>
        </w:rPr>
      </w:pPr>
      <w:r>
        <w:rPr>
          <w:rFonts w:hint="eastAsia" w:ascii="仿宋" w:hAnsi="仿宋" w:eastAsia="仿宋" w:cs="仿宋"/>
          <w:kern w:val="0"/>
          <w:sz w:val="24"/>
        </w:rPr>
        <w:t>签约各方：</w:t>
      </w:r>
    </w:p>
    <w:tbl>
      <w:tblPr>
        <w:tblStyle w:val="39"/>
        <w:tblW w:w="0" w:type="auto"/>
        <w:tblCellSpacing w:w="7" w:type="dxa"/>
        <w:tblInd w:w="0" w:type="dxa"/>
        <w:tblLayout w:type="fixed"/>
        <w:tblCellMar>
          <w:top w:w="15" w:type="dxa"/>
          <w:left w:w="15" w:type="dxa"/>
          <w:bottom w:w="15" w:type="dxa"/>
          <w:right w:w="15" w:type="dxa"/>
        </w:tblCellMar>
      </w:tblPr>
      <w:tblGrid>
        <w:gridCol w:w="4549"/>
        <w:gridCol w:w="3974"/>
      </w:tblGrid>
      <w:tr>
        <w:tblPrEx>
          <w:tblCellMar>
            <w:top w:w="15" w:type="dxa"/>
            <w:left w:w="15" w:type="dxa"/>
            <w:bottom w:w="15" w:type="dxa"/>
            <w:right w:w="15" w:type="dxa"/>
          </w:tblCellMar>
        </w:tblPrEx>
        <w:trPr>
          <w:trHeight w:val="582" w:hRule="atLeast"/>
          <w:tblCellSpacing w:w="7" w:type="dxa"/>
        </w:trPr>
        <w:tc>
          <w:tcPr>
            <w:tcW w:w="4528" w:type="dxa"/>
            <w:tcBorders>
              <w:tl2br w:val="nil"/>
              <w:tr2bl w:val="nil"/>
            </w:tcBorders>
            <w:vAlign w:val="center"/>
          </w:tcPr>
          <w:p>
            <w:pPr>
              <w:widowControl/>
              <w:spacing w:line="360" w:lineRule="auto"/>
              <w:jc w:val="left"/>
              <w:rPr>
                <w:rFonts w:ascii="仿宋" w:hAnsi="仿宋" w:eastAsia="仿宋" w:cs="仿宋"/>
                <w:kern w:val="0"/>
                <w:sz w:val="24"/>
              </w:rPr>
            </w:pPr>
            <w:r>
              <w:rPr>
                <w:rFonts w:hint="eastAsia" w:ascii="仿宋" w:hAnsi="仿宋" w:eastAsia="仿宋" w:cs="仿宋"/>
                <w:kern w:val="0"/>
                <w:sz w:val="24"/>
              </w:rPr>
              <w:t>甲方（盖章）：</w:t>
            </w:r>
          </w:p>
        </w:tc>
        <w:tc>
          <w:tcPr>
            <w:tcW w:w="3953" w:type="dxa"/>
            <w:tcBorders>
              <w:tl2br w:val="nil"/>
              <w:tr2bl w:val="nil"/>
            </w:tcBorders>
            <w:vAlign w:val="center"/>
          </w:tcPr>
          <w:p>
            <w:pPr>
              <w:widowControl/>
              <w:spacing w:line="360" w:lineRule="auto"/>
              <w:jc w:val="left"/>
              <w:rPr>
                <w:rFonts w:ascii="仿宋" w:hAnsi="仿宋" w:eastAsia="仿宋" w:cs="仿宋"/>
                <w:kern w:val="0"/>
                <w:sz w:val="24"/>
              </w:rPr>
            </w:pPr>
            <w:r>
              <w:rPr>
                <w:rFonts w:hint="eastAsia" w:ascii="仿宋" w:hAnsi="仿宋" w:eastAsia="仿宋" w:cs="仿宋"/>
                <w:kern w:val="0"/>
                <w:sz w:val="24"/>
              </w:rPr>
              <w:t xml:space="preserve">乙方（盖章）： </w:t>
            </w:r>
          </w:p>
        </w:tc>
      </w:tr>
      <w:tr>
        <w:tblPrEx>
          <w:tblCellMar>
            <w:top w:w="15" w:type="dxa"/>
            <w:left w:w="15" w:type="dxa"/>
            <w:bottom w:w="15" w:type="dxa"/>
            <w:right w:w="15" w:type="dxa"/>
          </w:tblCellMar>
        </w:tblPrEx>
        <w:trPr>
          <w:trHeight w:val="582" w:hRule="atLeast"/>
          <w:tblCellSpacing w:w="7" w:type="dxa"/>
        </w:trPr>
        <w:tc>
          <w:tcPr>
            <w:tcW w:w="4528" w:type="dxa"/>
            <w:tcBorders>
              <w:tl2br w:val="nil"/>
              <w:tr2bl w:val="nil"/>
            </w:tcBorders>
            <w:vAlign w:val="center"/>
          </w:tcPr>
          <w:p>
            <w:pPr>
              <w:widowControl/>
              <w:spacing w:line="360" w:lineRule="auto"/>
              <w:jc w:val="left"/>
              <w:rPr>
                <w:rFonts w:ascii="仿宋" w:hAnsi="仿宋" w:eastAsia="仿宋" w:cs="仿宋"/>
                <w:kern w:val="0"/>
                <w:sz w:val="24"/>
              </w:rPr>
            </w:pPr>
            <w:r>
              <w:rPr>
                <w:rFonts w:hint="eastAsia" w:ascii="仿宋" w:hAnsi="仿宋" w:eastAsia="仿宋" w:cs="仿宋"/>
                <w:kern w:val="0"/>
                <w:sz w:val="24"/>
              </w:rPr>
              <w:t>法定代表人或授权委托人（签章）：</w:t>
            </w:r>
          </w:p>
        </w:tc>
        <w:tc>
          <w:tcPr>
            <w:tcW w:w="3953" w:type="dxa"/>
            <w:tcBorders>
              <w:tl2br w:val="nil"/>
              <w:tr2bl w:val="nil"/>
            </w:tcBorders>
            <w:vAlign w:val="center"/>
          </w:tcPr>
          <w:p>
            <w:pPr>
              <w:widowControl/>
              <w:spacing w:line="360" w:lineRule="auto"/>
              <w:jc w:val="left"/>
              <w:rPr>
                <w:rFonts w:ascii="仿宋" w:hAnsi="仿宋" w:eastAsia="仿宋" w:cs="仿宋"/>
                <w:kern w:val="0"/>
                <w:sz w:val="24"/>
              </w:rPr>
            </w:pPr>
            <w:r>
              <w:rPr>
                <w:rFonts w:hint="eastAsia" w:ascii="仿宋" w:hAnsi="仿宋" w:eastAsia="仿宋" w:cs="仿宋"/>
                <w:kern w:val="0"/>
                <w:sz w:val="24"/>
              </w:rPr>
              <w:t>法定代表人或授权委托人（签章）：</w:t>
            </w:r>
          </w:p>
        </w:tc>
      </w:tr>
      <w:tr>
        <w:tblPrEx>
          <w:tblCellMar>
            <w:top w:w="15" w:type="dxa"/>
            <w:left w:w="15" w:type="dxa"/>
            <w:bottom w:w="15" w:type="dxa"/>
            <w:right w:w="15" w:type="dxa"/>
          </w:tblCellMar>
        </w:tblPrEx>
        <w:trPr>
          <w:trHeight w:val="582" w:hRule="atLeast"/>
          <w:tblCellSpacing w:w="7" w:type="dxa"/>
        </w:trPr>
        <w:tc>
          <w:tcPr>
            <w:tcW w:w="4528" w:type="dxa"/>
            <w:tcBorders>
              <w:tl2br w:val="nil"/>
              <w:tr2bl w:val="nil"/>
            </w:tcBorders>
            <w:vAlign w:val="center"/>
          </w:tcPr>
          <w:p>
            <w:pPr>
              <w:widowControl/>
              <w:spacing w:line="360" w:lineRule="auto"/>
              <w:jc w:val="left"/>
              <w:rPr>
                <w:rFonts w:ascii="仿宋" w:hAnsi="仿宋" w:eastAsia="仿宋" w:cs="仿宋"/>
                <w:kern w:val="0"/>
                <w:sz w:val="24"/>
              </w:rPr>
            </w:pPr>
            <w:r>
              <w:rPr>
                <w:rFonts w:hint="eastAsia" w:ascii="仿宋" w:hAnsi="仿宋" w:eastAsia="仿宋" w:cs="仿宋"/>
                <w:kern w:val="0"/>
                <w:sz w:val="24"/>
              </w:rPr>
              <w:t>合同签订地点：</w:t>
            </w:r>
          </w:p>
        </w:tc>
        <w:tc>
          <w:tcPr>
            <w:tcW w:w="3953" w:type="dxa"/>
            <w:tcBorders>
              <w:tl2br w:val="nil"/>
              <w:tr2bl w:val="nil"/>
            </w:tcBorders>
            <w:vAlign w:val="center"/>
          </w:tcPr>
          <w:p>
            <w:pPr>
              <w:widowControl/>
              <w:spacing w:line="360" w:lineRule="auto"/>
              <w:ind w:firstLine="480"/>
              <w:jc w:val="left"/>
              <w:rPr>
                <w:rFonts w:ascii="仿宋" w:hAnsi="仿宋" w:eastAsia="仿宋" w:cs="仿宋"/>
                <w:kern w:val="0"/>
                <w:sz w:val="24"/>
              </w:rPr>
            </w:pPr>
            <w:r>
              <w:rPr>
                <w:rFonts w:hint="eastAsia" w:ascii="仿宋" w:hAnsi="仿宋" w:eastAsia="仿宋" w:cs="仿宋"/>
                <w:kern w:val="0"/>
                <w:sz w:val="24"/>
              </w:rPr>
              <w:t>合同签订地点：</w:t>
            </w:r>
          </w:p>
        </w:tc>
      </w:tr>
      <w:tr>
        <w:tblPrEx>
          <w:tblCellMar>
            <w:top w:w="15" w:type="dxa"/>
            <w:left w:w="15" w:type="dxa"/>
            <w:bottom w:w="15" w:type="dxa"/>
            <w:right w:w="15" w:type="dxa"/>
          </w:tblCellMar>
        </w:tblPrEx>
        <w:trPr>
          <w:trHeight w:val="582" w:hRule="atLeast"/>
          <w:tblCellSpacing w:w="7" w:type="dxa"/>
        </w:trPr>
        <w:tc>
          <w:tcPr>
            <w:tcW w:w="4528" w:type="dxa"/>
            <w:tcBorders>
              <w:tl2br w:val="nil"/>
              <w:tr2bl w:val="nil"/>
            </w:tcBorders>
            <w:vAlign w:val="center"/>
          </w:tcPr>
          <w:p>
            <w:pPr>
              <w:widowControl/>
              <w:spacing w:line="360" w:lineRule="auto"/>
              <w:jc w:val="left"/>
              <w:rPr>
                <w:rFonts w:ascii="仿宋" w:hAnsi="仿宋" w:eastAsia="仿宋" w:cs="仿宋"/>
                <w:kern w:val="0"/>
                <w:sz w:val="24"/>
              </w:rPr>
            </w:pPr>
            <w:r>
              <w:rPr>
                <w:rFonts w:hint="eastAsia" w:ascii="仿宋" w:hAnsi="仿宋" w:eastAsia="仿宋" w:cs="仿宋"/>
                <w:kern w:val="0"/>
                <w:sz w:val="24"/>
              </w:rPr>
              <w:t>日期：</w:t>
            </w:r>
          </w:p>
        </w:tc>
        <w:tc>
          <w:tcPr>
            <w:tcW w:w="3953" w:type="dxa"/>
            <w:tcBorders>
              <w:tl2br w:val="nil"/>
              <w:tr2bl w:val="nil"/>
            </w:tcBorders>
            <w:vAlign w:val="center"/>
          </w:tcPr>
          <w:p>
            <w:pPr>
              <w:widowControl/>
              <w:spacing w:line="360" w:lineRule="auto"/>
              <w:ind w:firstLine="480"/>
              <w:jc w:val="left"/>
              <w:rPr>
                <w:rFonts w:ascii="仿宋" w:hAnsi="仿宋" w:eastAsia="仿宋" w:cs="仿宋"/>
                <w:kern w:val="0"/>
                <w:sz w:val="24"/>
              </w:rPr>
            </w:pPr>
            <w:r>
              <w:rPr>
                <w:rFonts w:hint="eastAsia" w:ascii="仿宋" w:hAnsi="仿宋" w:eastAsia="仿宋" w:cs="仿宋"/>
                <w:kern w:val="0"/>
                <w:sz w:val="24"/>
              </w:rPr>
              <w:t>日期：</w:t>
            </w:r>
          </w:p>
        </w:tc>
      </w:tr>
    </w:tbl>
    <w:p>
      <w:pPr>
        <w:tabs>
          <w:tab w:val="left" w:pos="1440"/>
        </w:tabs>
        <w:snapToGrid w:val="0"/>
        <w:spacing w:line="360" w:lineRule="auto"/>
        <w:ind w:firstLine="480" w:firstLineChars="200"/>
        <w:rPr>
          <w:rFonts w:ascii="仿宋" w:hAnsi="仿宋" w:eastAsia="仿宋" w:cs="仿宋"/>
          <w:sz w:val="24"/>
        </w:rPr>
      </w:pPr>
    </w:p>
    <w:p>
      <w:pPr>
        <w:pageBreakBefore w:val="0"/>
        <w:widowControl/>
        <w:kinsoku/>
        <w:wordWrap/>
        <w:overflowPunct/>
        <w:topLinePunct w:val="0"/>
        <w:autoSpaceDE/>
        <w:autoSpaceDN/>
        <w:bidi w:val="0"/>
        <w:adjustRightInd/>
        <w:snapToGrid/>
        <w:spacing w:after="0" w:line="460" w:lineRule="exact"/>
        <w:ind w:firstLine="560" w:firstLineChars="200"/>
        <w:textAlignment w:val="auto"/>
        <w:rPr>
          <w:rFonts w:hint="eastAsia" w:ascii="仿宋_GB2312" w:hAnsi="仿宋_GB2312" w:eastAsia="仿宋_GB2312" w:cs="仿宋_GB2312"/>
          <w:b w:val="0"/>
          <w:bCs w:val="0"/>
          <w:i w:val="0"/>
          <w:iCs w:val="0"/>
          <w:caps w:val="0"/>
          <w:color w:val="0F1115"/>
          <w:spacing w:val="0"/>
          <w:sz w:val="28"/>
          <w:szCs w:val="28"/>
          <w:shd w:val="clear" w:color="auto" w:fill="FFFFFF"/>
          <w:lang w:val="en-US" w:eastAsia="zh-CN"/>
        </w:rPr>
      </w:pPr>
    </w:p>
    <w:p>
      <w:pPr>
        <w:rPr>
          <w:rFonts w:hint="eastAsia"/>
          <w:lang w:val="en-US" w:eastAsia="zh-CN"/>
        </w:rPr>
      </w:pPr>
      <w:r>
        <w:rPr>
          <w:rFonts w:hint="eastAsia"/>
          <w:lang w:val="en-US" w:eastAsia="zh-CN"/>
        </w:rPr>
        <w:br w:type="page"/>
      </w:r>
    </w:p>
    <w:p>
      <w:pPr>
        <w:pStyle w:val="4"/>
        <w:rPr>
          <w:rFonts w:hint="eastAsia"/>
          <w:lang w:val="en-US" w:eastAsia="zh-CN"/>
        </w:rPr>
        <w:sectPr>
          <w:pgSz w:w="11906" w:h="16838"/>
          <w:pgMar w:top="1417" w:right="1417" w:bottom="1417" w:left="1417" w:header="720" w:footer="720" w:gutter="0"/>
          <w:pgNumType w:start="1"/>
          <w:cols w:space="720" w:num="1"/>
          <w:docGrid w:linePitch="360" w:charSpace="0"/>
        </w:sectPr>
      </w:pPr>
    </w:p>
    <w:p>
      <w:pPr>
        <w:spacing w:line="600" w:lineRule="exact"/>
        <w:jc w:val="center"/>
        <w:rPr>
          <w:rFonts w:hint="eastAsia" w:ascii="黑体" w:hAnsi="黑体" w:eastAsia="黑体"/>
          <w:sz w:val="36"/>
          <w:szCs w:val="44"/>
          <w:highlight w:val="none"/>
        </w:rPr>
      </w:pPr>
      <w:r>
        <w:rPr>
          <w:rFonts w:hint="eastAsia" w:ascii="黑体" w:hAnsi="黑体" w:eastAsia="黑体"/>
          <w:sz w:val="36"/>
          <w:szCs w:val="44"/>
          <w:highlight w:val="none"/>
          <w:lang w:eastAsia="zh-CN"/>
        </w:rPr>
        <w:t>海狸鼠专项</w:t>
      </w:r>
      <w:r>
        <w:rPr>
          <w:rFonts w:hint="eastAsia" w:ascii="黑体" w:hAnsi="黑体" w:eastAsia="黑体"/>
          <w:sz w:val="36"/>
          <w:szCs w:val="44"/>
          <w:highlight w:val="none"/>
        </w:rPr>
        <w:t>监测任务考核评分表</w:t>
      </w:r>
    </w:p>
    <w:p>
      <w:pPr>
        <w:spacing w:line="600" w:lineRule="exact"/>
        <w:rPr>
          <w:rFonts w:hint="eastAsia" w:ascii="仿宋_GB2312" w:hAnsi="仿宋_GB2312" w:eastAsia="仿宋_GB2312" w:cs="仿宋_GB2312"/>
          <w:sz w:val="24"/>
          <w:szCs w:val="22"/>
        </w:rPr>
      </w:pPr>
      <w:r>
        <w:rPr>
          <w:rFonts w:hint="eastAsia" w:ascii="仿宋_GB2312" w:hAnsi="仿宋_GB2312" w:eastAsia="仿宋_GB2312" w:cs="仿宋_GB2312"/>
          <w:sz w:val="24"/>
          <w:highlight w:val="none"/>
          <w:lang w:eastAsia="zh-CN"/>
        </w:rPr>
        <w:t>服务周期：</w:t>
      </w:r>
      <w:r>
        <w:rPr>
          <w:rFonts w:hint="eastAsia" w:ascii="仿宋_GB2312" w:hAnsi="仿宋_GB2312" w:eastAsia="仿宋_GB2312" w:cs="仿宋_GB2312"/>
          <w:sz w:val="24"/>
          <w:highlight w:val="none"/>
          <w:lang w:val="en-US" w:eastAsia="zh-CN"/>
        </w:rPr>
        <w:t xml:space="preserve">                                                                            </w:t>
      </w:r>
      <w:r>
        <w:rPr>
          <w:rFonts w:hint="eastAsia" w:ascii="仿宋_GB2312" w:hAnsi="仿宋_GB2312" w:eastAsia="仿宋_GB2312" w:cs="仿宋_GB2312"/>
          <w:sz w:val="24"/>
          <w:lang w:val="en-US" w:eastAsia="zh-CN"/>
        </w:rPr>
        <w:t xml:space="preserve">        </w:t>
      </w:r>
      <w:r>
        <w:rPr>
          <w:rFonts w:hint="eastAsia" w:ascii="仿宋_GB2312" w:hAnsi="仿宋_GB2312" w:eastAsia="仿宋_GB2312" w:cs="仿宋_GB2312"/>
          <w:sz w:val="24"/>
        </w:rPr>
        <w:t>考核批次：第    批次</w:t>
      </w:r>
    </w:p>
    <w:tbl>
      <w:tblPr>
        <w:tblStyle w:val="39"/>
        <w:tblW w:w="149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7"/>
        <w:gridCol w:w="1348"/>
        <w:gridCol w:w="1112"/>
        <w:gridCol w:w="3492"/>
        <w:gridCol w:w="5040"/>
        <w:gridCol w:w="648"/>
        <w:gridCol w:w="864"/>
        <w:gridCol w:w="20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357" w:type="dxa"/>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b/>
                <w:bCs/>
                <w:szCs w:val="21"/>
              </w:rPr>
            </w:pPr>
            <w:r>
              <w:rPr>
                <w:rFonts w:hint="eastAsia" w:ascii="仿宋_GB2312" w:hAnsi="仿宋_GB2312" w:eastAsia="仿宋_GB2312" w:cs="仿宋_GB2312"/>
                <w:b/>
                <w:bCs/>
                <w:szCs w:val="21"/>
              </w:rPr>
              <w:t>序号</w:t>
            </w:r>
          </w:p>
        </w:tc>
        <w:tc>
          <w:tcPr>
            <w:tcW w:w="1348" w:type="dxa"/>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b/>
                <w:bCs/>
                <w:szCs w:val="21"/>
              </w:rPr>
            </w:pPr>
            <w:r>
              <w:rPr>
                <w:rFonts w:hint="eastAsia" w:ascii="仿宋_GB2312" w:hAnsi="仿宋_GB2312" w:eastAsia="仿宋_GB2312" w:cs="仿宋_GB2312"/>
                <w:b/>
                <w:bCs/>
                <w:szCs w:val="21"/>
              </w:rPr>
              <w:t>评估</w:t>
            </w:r>
          </w:p>
          <w:p>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b/>
                <w:bCs/>
                <w:szCs w:val="21"/>
              </w:rPr>
            </w:pPr>
            <w:r>
              <w:rPr>
                <w:rFonts w:hint="eastAsia" w:ascii="仿宋_GB2312" w:hAnsi="仿宋_GB2312" w:eastAsia="仿宋_GB2312" w:cs="仿宋_GB2312"/>
                <w:b/>
                <w:bCs/>
                <w:szCs w:val="21"/>
              </w:rPr>
              <w:t>指标</w:t>
            </w:r>
          </w:p>
        </w:tc>
        <w:tc>
          <w:tcPr>
            <w:tcW w:w="1112" w:type="dxa"/>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b/>
                <w:bCs/>
                <w:szCs w:val="21"/>
              </w:rPr>
            </w:pPr>
            <w:r>
              <w:rPr>
                <w:rFonts w:hint="eastAsia" w:ascii="仿宋_GB2312" w:hAnsi="仿宋_GB2312" w:eastAsia="仿宋_GB2312" w:cs="仿宋_GB2312"/>
                <w:b/>
                <w:bCs/>
                <w:szCs w:val="21"/>
              </w:rPr>
              <w:t>评估</w:t>
            </w:r>
          </w:p>
          <w:p>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b/>
                <w:bCs/>
                <w:szCs w:val="21"/>
              </w:rPr>
            </w:pPr>
            <w:r>
              <w:rPr>
                <w:rFonts w:hint="eastAsia" w:ascii="仿宋_GB2312" w:hAnsi="仿宋_GB2312" w:eastAsia="仿宋_GB2312" w:cs="仿宋_GB2312"/>
                <w:b/>
                <w:bCs/>
                <w:szCs w:val="21"/>
              </w:rPr>
              <w:t>项目</w:t>
            </w:r>
          </w:p>
        </w:tc>
        <w:tc>
          <w:tcPr>
            <w:tcW w:w="3492" w:type="dxa"/>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b/>
                <w:bCs/>
                <w:szCs w:val="21"/>
              </w:rPr>
            </w:pPr>
            <w:r>
              <w:rPr>
                <w:rFonts w:hint="eastAsia" w:ascii="仿宋_GB2312" w:hAnsi="仿宋_GB2312" w:eastAsia="仿宋_GB2312" w:cs="仿宋_GB2312"/>
                <w:b/>
                <w:bCs/>
                <w:szCs w:val="21"/>
              </w:rPr>
              <w:t>质量标准</w:t>
            </w:r>
          </w:p>
        </w:tc>
        <w:tc>
          <w:tcPr>
            <w:tcW w:w="5040" w:type="dxa"/>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b/>
                <w:bCs/>
                <w:szCs w:val="21"/>
              </w:rPr>
            </w:pPr>
            <w:r>
              <w:rPr>
                <w:rFonts w:hint="eastAsia" w:ascii="仿宋_GB2312" w:hAnsi="仿宋_GB2312" w:eastAsia="仿宋_GB2312" w:cs="仿宋_GB2312"/>
                <w:b/>
                <w:bCs/>
                <w:szCs w:val="21"/>
              </w:rPr>
              <w:t>评分标准</w:t>
            </w:r>
          </w:p>
        </w:tc>
        <w:tc>
          <w:tcPr>
            <w:tcW w:w="648" w:type="dxa"/>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b/>
                <w:bCs/>
                <w:szCs w:val="21"/>
              </w:rPr>
            </w:pPr>
            <w:r>
              <w:rPr>
                <w:rFonts w:hint="eastAsia" w:ascii="仿宋_GB2312" w:hAnsi="仿宋_GB2312" w:eastAsia="仿宋_GB2312" w:cs="仿宋_GB2312"/>
                <w:b/>
                <w:bCs/>
                <w:szCs w:val="21"/>
              </w:rPr>
              <w:t>分值</w:t>
            </w:r>
          </w:p>
        </w:tc>
        <w:tc>
          <w:tcPr>
            <w:tcW w:w="864" w:type="dxa"/>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b/>
                <w:bCs/>
                <w:szCs w:val="21"/>
              </w:rPr>
            </w:pPr>
            <w:r>
              <w:rPr>
                <w:rFonts w:hint="eastAsia" w:ascii="仿宋_GB2312" w:hAnsi="仿宋_GB2312" w:eastAsia="仿宋_GB2312" w:cs="仿宋_GB2312"/>
                <w:b/>
                <w:bCs/>
                <w:szCs w:val="21"/>
              </w:rPr>
              <w:t>得分</w:t>
            </w:r>
          </w:p>
        </w:tc>
        <w:tc>
          <w:tcPr>
            <w:tcW w:w="2097" w:type="dxa"/>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b/>
                <w:bCs/>
                <w:szCs w:val="21"/>
              </w:rPr>
            </w:pPr>
            <w:r>
              <w:rPr>
                <w:rFonts w:hint="eastAsia" w:ascii="仿宋_GB2312" w:hAnsi="仿宋_GB2312" w:eastAsia="仿宋_GB2312" w:cs="仿宋_GB2312"/>
                <w:b/>
                <w:bCs/>
                <w:szCs w:val="21"/>
              </w:rPr>
              <w:t>扣分原因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jc w:val="center"/>
        </w:trPr>
        <w:tc>
          <w:tcPr>
            <w:tcW w:w="357" w:type="dxa"/>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szCs w:val="21"/>
              </w:rPr>
            </w:pPr>
            <w:r>
              <w:rPr>
                <w:rFonts w:hint="eastAsia" w:ascii="仿宋_GB2312" w:hAnsi="仿宋_GB2312" w:eastAsia="仿宋_GB2312" w:cs="仿宋_GB2312"/>
                <w:szCs w:val="21"/>
              </w:rPr>
              <w:t>1</w:t>
            </w:r>
          </w:p>
        </w:tc>
        <w:tc>
          <w:tcPr>
            <w:tcW w:w="1348" w:type="dxa"/>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Times New Roman"/>
                <w:color w:val="auto"/>
                <w:sz w:val="24"/>
              </w:rPr>
            </w:pPr>
            <w:r>
              <w:rPr>
                <w:rFonts w:ascii="Times New Roman" w:hAnsi="Times New Roman" w:eastAsia="仿宋_GB2312" w:cs="Times New Roman"/>
                <w:color w:val="auto"/>
                <w:sz w:val="24"/>
              </w:rPr>
              <w:t>监测计划</w:t>
            </w:r>
          </w:p>
        </w:tc>
        <w:tc>
          <w:tcPr>
            <w:tcW w:w="1112" w:type="dxa"/>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Times New Roman"/>
                <w:color w:val="auto"/>
                <w:sz w:val="24"/>
              </w:rPr>
            </w:pPr>
            <w:r>
              <w:rPr>
                <w:rFonts w:ascii="Times New Roman" w:hAnsi="Times New Roman" w:eastAsia="仿宋_GB2312" w:cs="Times New Roman"/>
                <w:color w:val="auto"/>
                <w:sz w:val="24"/>
              </w:rPr>
              <w:t>计划的制定及实施</w:t>
            </w:r>
          </w:p>
        </w:tc>
        <w:tc>
          <w:tcPr>
            <w:tcW w:w="3492" w:type="dxa"/>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Times New Roman"/>
                <w:color w:val="auto"/>
                <w:sz w:val="24"/>
              </w:rPr>
            </w:pPr>
            <w:r>
              <w:rPr>
                <w:rFonts w:ascii="Times New Roman" w:hAnsi="Times New Roman" w:eastAsia="仿宋_GB2312" w:cs="Times New Roman"/>
                <w:color w:val="auto"/>
                <w:sz w:val="24"/>
              </w:rPr>
              <w:t>计划合理并有效</w:t>
            </w:r>
          </w:p>
        </w:tc>
        <w:tc>
          <w:tcPr>
            <w:tcW w:w="5040" w:type="dxa"/>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hint="eastAsia" w:ascii="Times New Roman" w:hAnsi="Times New Roman" w:eastAsia="仿宋_GB2312" w:cs="Times New Roman"/>
                <w:color w:val="auto"/>
                <w:sz w:val="24"/>
              </w:rPr>
            </w:pPr>
            <w:r>
              <w:rPr>
                <w:rFonts w:ascii="Times New Roman" w:hAnsi="Times New Roman" w:eastAsia="仿宋_GB2312" w:cs="Times New Roman"/>
                <w:color w:val="auto"/>
                <w:sz w:val="24"/>
              </w:rPr>
              <w:t>是否制定监测实施计划，未制定扣5分。监测计划制定合理性，是否便于有效实施。因监测计划不合理造成监测任务目标实施困难的，或不能按合同要求的时间点完成任务扣1-3分。</w:t>
            </w:r>
          </w:p>
        </w:tc>
        <w:tc>
          <w:tcPr>
            <w:tcW w:w="648" w:type="dxa"/>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Times New Roman"/>
                <w:color w:val="auto"/>
                <w:sz w:val="24"/>
              </w:rPr>
            </w:pPr>
            <w:r>
              <w:rPr>
                <w:rFonts w:hint="eastAsia" w:ascii="Times New Roman" w:hAnsi="Times New Roman" w:eastAsia="仿宋_GB2312" w:cs="Times New Roman"/>
                <w:color w:val="auto"/>
                <w:sz w:val="24"/>
              </w:rPr>
              <w:t>2</w:t>
            </w:r>
            <w:r>
              <w:rPr>
                <w:rFonts w:ascii="Times New Roman" w:hAnsi="Times New Roman" w:eastAsia="仿宋_GB2312" w:cs="Times New Roman"/>
                <w:color w:val="auto"/>
                <w:sz w:val="24"/>
              </w:rPr>
              <w:t>0</w:t>
            </w:r>
          </w:p>
        </w:tc>
        <w:tc>
          <w:tcPr>
            <w:tcW w:w="864" w:type="dxa"/>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szCs w:val="21"/>
              </w:rPr>
            </w:pPr>
          </w:p>
        </w:tc>
        <w:tc>
          <w:tcPr>
            <w:tcW w:w="2097" w:type="dxa"/>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3" w:hRule="atLeast"/>
          <w:jc w:val="center"/>
        </w:trPr>
        <w:tc>
          <w:tcPr>
            <w:tcW w:w="357" w:type="dxa"/>
            <w:vMerge w:val="restart"/>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szCs w:val="21"/>
              </w:rPr>
            </w:pPr>
            <w:r>
              <w:rPr>
                <w:rFonts w:hint="eastAsia" w:ascii="仿宋_GB2312" w:hAnsi="仿宋_GB2312" w:eastAsia="仿宋_GB2312" w:cs="仿宋_GB2312"/>
                <w:szCs w:val="21"/>
              </w:rPr>
              <w:t>2</w:t>
            </w:r>
          </w:p>
        </w:tc>
        <w:tc>
          <w:tcPr>
            <w:tcW w:w="1348" w:type="dxa"/>
            <w:vMerge w:val="restart"/>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Times New Roman"/>
                <w:color w:val="auto"/>
                <w:sz w:val="24"/>
              </w:rPr>
            </w:pPr>
            <w:r>
              <w:rPr>
                <w:rFonts w:hint="eastAsia" w:ascii="Times New Roman" w:hAnsi="Times New Roman" w:eastAsia="仿宋_GB2312" w:cs="Times New Roman"/>
                <w:color w:val="auto"/>
                <w:sz w:val="24"/>
              </w:rPr>
              <w:t>仪器设备管理落实性</w:t>
            </w:r>
          </w:p>
        </w:tc>
        <w:tc>
          <w:tcPr>
            <w:tcW w:w="1112" w:type="dxa"/>
            <w:vMerge w:val="restart"/>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Times New Roman"/>
                <w:color w:val="auto"/>
                <w:sz w:val="24"/>
              </w:rPr>
            </w:pPr>
            <w:r>
              <w:rPr>
                <w:rFonts w:hint="eastAsia" w:ascii="Times New Roman" w:hAnsi="Times New Roman" w:eastAsia="仿宋_GB2312" w:cs="Times New Roman"/>
                <w:color w:val="auto"/>
                <w:sz w:val="24"/>
              </w:rPr>
              <w:t>现场监测</w:t>
            </w:r>
          </w:p>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Times New Roman"/>
                <w:color w:val="auto"/>
                <w:sz w:val="24"/>
              </w:rPr>
            </w:pPr>
            <w:r>
              <w:rPr>
                <w:rFonts w:hint="eastAsia" w:ascii="Times New Roman" w:hAnsi="Times New Roman" w:eastAsia="仿宋_GB2312" w:cs="Times New Roman"/>
                <w:color w:val="auto"/>
                <w:sz w:val="24"/>
              </w:rPr>
              <w:t>设备</w:t>
            </w:r>
          </w:p>
        </w:tc>
        <w:tc>
          <w:tcPr>
            <w:tcW w:w="3492" w:type="dxa"/>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Times New Roman"/>
                <w:color w:val="auto"/>
                <w:sz w:val="24"/>
              </w:rPr>
            </w:pPr>
            <w:r>
              <w:rPr>
                <w:rFonts w:hint="eastAsia" w:ascii="Times New Roman" w:hAnsi="Times New Roman" w:eastAsia="仿宋_GB2312" w:cs="Times New Roman"/>
                <w:color w:val="auto"/>
                <w:sz w:val="24"/>
              </w:rPr>
              <w:t>仪器和辅助设备、样品容器、试剂耗材、现场记录表单</w:t>
            </w:r>
          </w:p>
        </w:tc>
        <w:tc>
          <w:tcPr>
            <w:tcW w:w="5040" w:type="dxa"/>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hint="eastAsia" w:ascii="Times New Roman" w:hAnsi="Times New Roman" w:eastAsia="仿宋_GB2312" w:cs="Times New Roman"/>
                <w:color w:val="auto"/>
                <w:sz w:val="24"/>
              </w:rPr>
            </w:pPr>
            <w:r>
              <w:rPr>
                <w:rFonts w:hint="eastAsia" w:ascii="Times New Roman" w:hAnsi="Times New Roman" w:eastAsia="仿宋_GB2312" w:cs="Times New Roman"/>
                <w:color w:val="auto"/>
                <w:sz w:val="24"/>
              </w:rPr>
              <w:t>缺少主要设备，扣</w:t>
            </w:r>
            <w:r>
              <w:rPr>
                <w:rFonts w:hint="eastAsia" w:ascii="Times New Roman" w:hAnsi="Times New Roman" w:eastAsia="仿宋_GB2312" w:cs="Times New Roman"/>
                <w:color w:val="auto"/>
                <w:sz w:val="24"/>
                <w:lang w:val="en-US" w:eastAsia="zh-CN"/>
              </w:rPr>
              <w:t>10</w:t>
            </w:r>
            <w:r>
              <w:rPr>
                <w:rFonts w:hint="eastAsia" w:ascii="Times New Roman" w:hAnsi="Times New Roman" w:eastAsia="仿宋_GB2312" w:cs="Times New Roman"/>
                <w:color w:val="auto"/>
                <w:sz w:val="24"/>
              </w:rPr>
              <w:t>分；不规范每项扣2.5分。</w:t>
            </w:r>
          </w:p>
        </w:tc>
        <w:tc>
          <w:tcPr>
            <w:tcW w:w="648" w:type="dxa"/>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color w:val="auto"/>
                <w:sz w:val="24"/>
                <w:lang w:val="en-US" w:eastAsia="zh-CN"/>
              </w:rPr>
            </w:pPr>
            <w:r>
              <w:rPr>
                <w:rFonts w:hint="eastAsia" w:ascii="Times New Roman" w:hAnsi="Times New Roman" w:eastAsia="仿宋_GB2312" w:cs="Times New Roman"/>
                <w:color w:val="auto"/>
                <w:sz w:val="24"/>
                <w:lang w:val="en-US" w:eastAsia="zh-CN"/>
              </w:rPr>
              <w:t>10</w:t>
            </w:r>
          </w:p>
        </w:tc>
        <w:tc>
          <w:tcPr>
            <w:tcW w:w="864" w:type="dxa"/>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szCs w:val="21"/>
              </w:rPr>
            </w:pPr>
          </w:p>
        </w:tc>
        <w:tc>
          <w:tcPr>
            <w:tcW w:w="2097" w:type="dxa"/>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357" w:type="dxa"/>
            <w:vMerge w:val="restart"/>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szCs w:val="21"/>
              </w:rPr>
            </w:pPr>
            <w:r>
              <w:rPr>
                <w:rFonts w:hint="eastAsia" w:ascii="仿宋_GB2312" w:hAnsi="仿宋_GB2312" w:eastAsia="仿宋_GB2312" w:cs="仿宋_GB2312"/>
                <w:szCs w:val="21"/>
              </w:rPr>
              <w:t>3</w:t>
            </w:r>
          </w:p>
        </w:tc>
        <w:tc>
          <w:tcPr>
            <w:tcW w:w="1348" w:type="dxa"/>
            <w:vMerge w:val="restart"/>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Times New Roman"/>
                <w:color w:val="auto"/>
                <w:sz w:val="24"/>
              </w:rPr>
            </w:pPr>
            <w:r>
              <w:rPr>
                <w:rFonts w:hint="eastAsia" w:ascii="Times New Roman" w:hAnsi="Times New Roman" w:eastAsia="仿宋_GB2312" w:cs="Times New Roman"/>
                <w:color w:val="auto"/>
                <w:sz w:val="24"/>
              </w:rPr>
              <w:t>现场监测规范性</w:t>
            </w:r>
          </w:p>
        </w:tc>
        <w:tc>
          <w:tcPr>
            <w:tcW w:w="1112" w:type="dxa"/>
            <w:vMerge w:val="restart"/>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Times New Roman"/>
                <w:color w:val="auto"/>
                <w:sz w:val="24"/>
              </w:rPr>
            </w:pPr>
            <w:r>
              <w:rPr>
                <w:rFonts w:hint="eastAsia" w:ascii="Times New Roman" w:hAnsi="Times New Roman" w:eastAsia="仿宋_GB2312" w:cs="Times New Roman"/>
                <w:color w:val="auto"/>
                <w:sz w:val="24"/>
              </w:rPr>
              <w:t>现场监测</w:t>
            </w:r>
          </w:p>
        </w:tc>
        <w:tc>
          <w:tcPr>
            <w:tcW w:w="3492" w:type="dxa"/>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Times New Roman"/>
                <w:color w:val="auto"/>
                <w:sz w:val="24"/>
                <w:lang w:val="en-US" w:eastAsia="en-US"/>
              </w:rPr>
            </w:pPr>
            <w:r>
              <w:rPr>
                <w:rFonts w:hint="eastAsia" w:ascii="Times New Roman" w:hAnsi="Times New Roman" w:eastAsia="仿宋_GB2312" w:cs="Times New Roman"/>
                <w:color w:val="auto"/>
                <w:sz w:val="24"/>
              </w:rPr>
              <w:t>点位布设</w:t>
            </w:r>
          </w:p>
        </w:tc>
        <w:tc>
          <w:tcPr>
            <w:tcW w:w="5040" w:type="dxa"/>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hint="eastAsia" w:ascii="Times New Roman" w:hAnsi="Times New Roman" w:eastAsia="仿宋_GB2312" w:cs="Times New Roman"/>
                <w:color w:val="auto"/>
                <w:sz w:val="24"/>
                <w:lang w:val="en-US" w:eastAsia="en-US"/>
              </w:rPr>
            </w:pPr>
            <w:r>
              <w:rPr>
                <w:rFonts w:hint="eastAsia" w:ascii="Times New Roman" w:hAnsi="Times New Roman" w:eastAsia="仿宋_GB2312" w:cs="Times New Roman"/>
                <w:color w:val="auto"/>
                <w:sz w:val="24"/>
              </w:rPr>
              <w:t>不符合相关监测技术规范开展工作，扣</w:t>
            </w:r>
            <w:r>
              <w:rPr>
                <w:rFonts w:hint="eastAsia" w:ascii="Times New Roman" w:hAnsi="Times New Roman" w:eastAsia="仿宋_GB2312" w:cs="Times New Roman"/>
                <w:color w:val="auto"/>
                <w:sz w:val="24"/>
                <w:lang w:val="en-US" w:eastAsia="zh-CN"/>
              </w:rPr>
              <w:t>10</w:t>
            </w:r>
            <w:r>
              <w:rPr>
                <w:rFonts w:hint="eastAsia" w:ascii="Times New Roman" w:hAnsi="Times New Roman" w:eastAsia="仿宋_GB2312" w:cs="Times New Roman"/>
                <w:color w:val="auto"/>
                <w:sz w:val="24"/>
              </w:rPr>
              <w:t>分；其他不规范每项扣2.5分。</w:t>
            </w:r>
          </w:p>
        </w:tc>
        <w:tc>
          <w:tcPr>
            <w:tcW w:w="648" w:type="dxa"/>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Times New Roman"/>
                <w:color w:val="auto"/>
                <w:sz w:val="24"/>
                <w:lang w:val="en-US" w:eastAsia="zh-CN"/>
              </w:rPr>
            </w:pPr>
            <w:r>
              <w:rPr>
                <w:rFonts w:hint="eastAsia" w:ascii="Times New Roman" w:hAnsi="Times New Roman" w:eastAsia="仿宋_GB2312" w:cs="Times New Roman"/>
                <w:color w:val="auto"/>
                <w:sz w:val="24"/>
                <w:lang w:val="en-US" w:eastAsia="zh-CN"/>
              </w:rPr>
              <w:t>10</w:t>
            </w:r>
          </w:p>
        </w:tc>
        <w:tc>
          <w:tcPr>
            <w:tcW w:w="864" w:type="dxa"/>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szCs w:val="21"/>
              </w:rPr>
            </w:pPr>
          </w:p>
        </w:tc>
        <w:tc>
          <w:tcPr>
            <w:tcW w:w="2097" w:type="dxa"/>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57"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szCs w:val="21"/>
              </w:rPr>
            </w:pPr>
          </w:p>
        </w:tc>
        <w:tc>
          <w:tcPr>
            <w:tcW w:w="1348"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Times New Roman"/>
                <w:color w:val="auto"/>
                <w:sz w:val="24"/>
              </w:rPr>
            </w:pPr>
          </w:p>
        </w:tc>
        <w:tc>
          <w:tcPr>
            <w:tcW w:w="1112"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Times New Roman"/>
                <w:color w:val="auto"/>
                <w:sz w:val="24"/>
              </w:rPr>
            </w:pPr>
          </w:p>
        </w:tc>
        <w:tc>
          <w:tcPr>
            <w:tcW w:w="3492" w:type="dxa"/>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Times New Roman"/>
                <w:color w:val="auto"/>
                <w:sz w:val="24"/>
                <w:lang w:val="en-US" w:eastAsia="en-US"/>
              </w:rPr>
            </w:pPr>
            <w:r>
              <w:rPr>
                <w:rFonts w:hint="eastAsia" w:ascii="Times New Roman" w:hAnsi="Times New Roman" w:eastAsia="仿宋_GB2312" w:cs="Times New Roman"/>
                <w:color w:val="auto"/>
                <w:sz w:val="24"/>
              </w:rPr>
              <w:t>监测（采样）频次、样品数</w:t>
            </w:r>
          </w:p>
        </w:tc>
        <w:tc>
          <w:tcPr>
            <w:tcW w:w="5040" w:type="dxa"/>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hint="eastAsia" w:ascii="Times New Roman" w:hAnsi="Times New Roman" w:eastAsia="仿宋_GB2312" w:cs="Times New Roman"/>
                <w:color w:val="auto"/>
                <w:sz w:val="24"/>
                <w:lang w:val="en-US" w:eastAsia="en-US"/>
              </w:rPr>
            </w:pPr>
            <w:r>
              <w:rPr>
                <w:rFonts w:hint="eastAsia" w:ascii="Times New Roman" w:hAnsi="Times New Roman" w:eastAsia="仿宋_GB2312" w:cs="Times New Roman"/>
                <w:color w:val="auto"/>
                <w:sz w:val="24"/>
              </w:rPr>
              <w:t>不符合监测方案或相关监测技术规范，扣</w:t>
            </w:r>
            <w:r>
              <w:rPr>
                <w:rFonts w:hint="eastAsia" w:ascii="Times New Roman" w:hAnsi="Times New Roman" w:eastAsia="仿宋_GB2312" w:cs="Times New Roman"/>
                <w:color w:val="auto"/>
                <w:sz w:val="24"/>
                <w:lang w:val="en-US" w:eastAsia="zh-CN"/>
              </w:rPr>
              <w:t>10</w:t>
            </w:r>
            <w:r>
              <w:rPr>
                <w:rFonts w:hint="eastAsia" w:ascii="Times New Roman" w:hAnsi="Times New Roman" w:eastAsia="仿宋_GB2312" w:cs="Times New Roman"/>
                <w:color w:val="auto"/>
                <w:sz w:val="24"/>
              </w:rPr>
              <w:t>分。</w:t>
            </w:r>
          </w:p>
        </w:tc>
        <w:tc>
          <w:tcPr>
            <w:tcW w:w="648" w:type="dxa"/>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color w:val="auto"/>
                <w:sz w:val="24"/>
                <w:lang w:val="en-US" w:eastAsia="zh-CN"/>
              </w:rPr>
            </w:pPr>
            <w:r>
              <w:rPr>
                <w:rFonts w:hint="eastAsia" w:ascii="Times New Roman" w:hAnsi="Times New Roman" w:eastAsia="仿宋_GB2312" w:cs="Times New Roman"/>
                <w:color w:val="auto"/>
                <w:sz w:val="24"/>
                <w:lang w:val="en-US" w:eastAsia="zh-CN"/>
              </w:rPr>
              <w:t>10</w:t>
            </w:r>
          </w:p>
        </w:tc>
        <w:tc>
          <w:tcPr>
            <w:tcW w:w="864" w:type="dxa"/>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szCs w:val="21"/>
              </w:rPr>
            </w:pPr>
          </w:p>
        </w:tc>
        <w:tc>
          <w:tcPr>
            <w:tcW w:w="2097" w:type="dxa"/>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jc w:val="center"/>
        </w:trPr>
        <w:tc>
          <w:tcPr>
            <w:tcW w:w="357"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szCs w:val="21"/>
              </w:rPr>
            </w:pPr>
          </w:p>
        </w:tc>
        <w:tc>
          <w:tcPr>
            <w:tcW w:w="1348"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Times New Roman"/>
                <w:color w:val="auto"/>
                <w:sz w:val="24"/>
              </w:rPr>
            </w:pPr>
          </w:p>
        </w:tc>
        <w:tc>
          <w:tcPr>
            <w:tcW w:w="1112"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Times New Roman"/>
                <w:color w:val="auto"/>
                <w:sz w:val="24"/>
              </w:rPr>
            </w:pPr>
          </w:p>
        </w:tc>
        <w:tc>
          <w:tcPr>
            <w:tcW w:w="3492" w:type="dxa"/>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Times New Roman"/>
                <w:color w:val="auto"/>
                <w:sz w:val="24"/>
                <w:lang w:val="en-US" w:eastAsia="en-US"/>
              </w:rPr>
            </w:pPr>
            <w:r>
              <w:rPr>
                <w:rFonts w:hint="eastAsia" w:ascii="Times New Roman" w:hAnsi="Times New Roman" w:eastAsia="仿宋_GB2312" w:cs="Times New Roman"/>
                <w:color w:val="auto"/>
                <w:sz w:val="24"/>
              </w:rPr>
              <w:t>实施过程</w:t>
            </w:r>
          </w:p>
        </w:tc>
        <w:tc>
          <w:tcPr>
            <w:tcW w:w="5040" w:type="dxa"/>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hint="eastAsia" w:ascii="Times New Roman" w:hAnsi="Times New Roman" w:eastAsia="仿宋_GB2312" w:cs="Times New Roman"/>
                <w:color w:val="auto"/>
                <w:sz w:val="24"/>
                <w:lang w:val="en-US" w:eastAsia="en-US"/>
              </w:rPr>
            </w:pPr>
            <w:r>
              <w:rPr>
                <w:rFonts w:hint="eastAsia" w:ascii="Times New Roman" w:hAnsi="Times New Roman" w:eastAsia="仿宋_GB2312" w:cs="Times New Roman"/>
                <w:color w:val="auto"/>
                <w:sz w:val="24"/>
              </w:rPr>
              <w:t>不符合监测方案或相关监测技术规范，扣5分；不规范每项扣2.5分。</w:t>
            </w:r>
          </w:p>
        </w:tc>
        <w:tc>
          <w:tcPr>
            <w:tcW w:w="648" w:type="dxa"/>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color w:val="auto"/>
                <w:sz w:val="24"/>
                <w:lang w:val="en-US" w:eastAsia="zh-CN"/>
              </w:rPr>
            </w:pPr>
            <w:r>
              <w:rPr>
                <w:rFonts w:hint="eastAsia" w:ascii="Times New Roman" w:hAnsi="Times New Roman" w:eastAsia="仿宋_GB2312" w:cs="Times New Roman"/>
                <w:color w:val="auto"/>
                <w:sz w:val="24"/>
                <w:lang w:val="en-US" w:eastAsia="zh-CN"/>
              </w:rPr>
              <w:t>10</w:t>
            </w:r>
          </w:p>
        </w:tc>
        <w:tc>
          <w:tcPr>
            <w:tcW w:w="864" w:type="dxa"/>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szCs w:val="21"/>
              </w:rPr>
            </w:pPr>
          </w:p>
        </w:tc>
        <w:tc>
          <w:tcPr>
            <w:tcW w:w="2097" w:type="dxa"/>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jc w:val="center"/>
        </w:trPr>
        <w:tc>
          <w:tcPr>
            <w:tcW w:w="357" w:type="dxa"/>
            <w:vMerge w:val="restart"/>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4</w:t>
            </w:r>
          </w:p>
        </w:tc>
        <w:tc>
          <w:tcPr>
            <w:tcW w:w="1348" w:type="dxa"/>
            <w:vMerge w:val="restart"/>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Times New Roman"/>
                <w:color w:val="auto"/>
                <w:sz w:val="24"/>
              </w:rPr>
            </w:pPr>
            <w:r>
              <w:rPr>
                <w:rFonts w:hint="eastAsia" w:ascii="Times New Roman" w:hAnsi="Times New Roman" w:eastAsia="仿宋_GB2312" w:cs="Times New Roman"/>
                <w:color w:val="auto"/>
                <w:sz w:val="24"/>
              </w:rPr>
              <w:t>报告编制全面性</w:t>
            </w:r>
          </w:p>
        </w:tc>
        <w:tc>
          <w:tcPr>
            <w:tcW w:w="1112" w:type="dxa"/>
            <w:shd w:val="clear" w:color="auto" w:fill="FFFFFF"/>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Times New Roman"/>
                <w:color w:val="auto"/>
                <w:sz w:val="24"/>
                <w:lang w:val="en-US" w:eastAsia="en-US"/>
              </w:rPr>
            </w:pPr>
            <w:r>
              <w:rPr>
                <w:rFonts w:ascii="Times New Roman" w:hAnsi="Times New Roman" w:eastAsia="仿宋_GB2312" w:cs="Times New Roman"/>
                <w:color w:val="auto"/>
                <w:sz w:val="24"/>
              </w:rPr>
              <w:t>报告时效</w:t>
            </w:r>
          </w:p>
        </w:tc>
        <w:tc>
          <w:tcPr>
            <w:tcW w:w="3492" w:type="dxa"/>
            <w:shd w:val="clear" w:color="auto" w:fill="FFFFFF"/>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Times New Roman"/>
                <w:color w:val="auto"/>
                <w:sz w:val="24"/>
                <w:lang w:val="en-US" w:eastAsia="en-US"/>
              </w:rPr>
            </w:pPr>
            <w:r>
              <w:rPr>
                <w:rFonts w:ascii="Times New Roman" w:hAnsi="Times New Roman" w:eastAsia="仿宋_GB2312" w:cs="Times New Roman"/>
                <w:color w:val="auto"/>
                <w:sz w:val="24"/>
              </w:rPr>
              <w:t>时效性</w:t>
            </w:r>
          </w:p>
        </w:tc>
        <w:tc>
          <w:tcPr>
            <w:tcW w:w="5040" w:type="dxa"/>
            <w:shd w:val="clear" w:color="auto" w:fill="FFFFFF"/>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hint="eastAsia" w:ascii="Times New Roman" w:hAnsi="Times New Roman" w:eastAsia="仿宋_GB2312" w:cs="Times New Roman"/>
                <w:color w:val="auto"/>
                <w:sz w:val="24"/>
                <w:lang w:val="en-US" w:eastAsia="en-US"/>
              </w:rPr>
            </w:pPr>
            <w:r>
              <w:rPr>
                <w:rFonts w:hint="eastAsia" w:ascii="Times New Roman" w:hAnsi="Times New Roman" w:eastAsia="仿宋_GB2312" w:cs="Times New Roman"/>
                <w:color w:val="auto"/>
                <w:sz w:val="24"/>
              </w:rPr>
              <w:t>未提交</w:t>
            </w:r>
            <w:r>
              <w:rPr>
                <w:rFonts w:hint="eastAsia" w:ascii="Times New Roman" w:hAnsi="Times New Roman" w:eastAsia="仿宋_GB2312" w:cs="Times New Roman"/>
                <w:color w:val="auto"/>
                <w:sz w:val="24"/>
                <w:lang w:val="en-US" w:eastAsia="zh-CN"/>
              </w:rPr>
              <w:t>每月分析</w:t>
            </w:r>
            <w:r>
              <w:rPr>
                <w:rFonts w:hint="eastAsia" w:ascii="Times New Roman" w:hAnsi="Times New Roman" w:eastAsia="仿宋_GB2312" w:cs="Times New Roman"/>
                <w:color w:val="auto"/>
                <w:sz w:val="24"/>
              </w:rPr>
              <w:t>报告</w:t>
            </w:r>
            <w:r>
              <w:rPr>
                <w:rFonts w:hint="eastAsia" w:ascii="Times New Roman" w:hAnsi="Times New Roman" w:eastAsia="仿宋_GB2312" w:cs="Times New Roman"/>
                <w:color w:val="auto"/>
                <w:sz w:val="24"/>
                <w:lang w:eastAsia="zh-CN"/>
              </w:rPr>
              <w:t>，</w:t>
            </w:r>
            <w:r>
              <w:rPr>
                <w:rFonts w:hint="eastAsia" w:ascii="Times New Roman" w:hAnsi="Times New Roman" w:eastAsia="仿宋_GB2312" w:cs="Times New Roman"/>
                <w:color w:val="auto"/>
                <w:sz w:val="24"/>
              </w:rPr>
              <w:t>扣5分。（包括未在考核时间节点前提交全部报告及其他相关材料）</w:t>
            </w:r>
          </w:p>
        </w:tc>
        <w:tc>
          <w:tcPr>
            <w:tcW w:w="648" w:type="dxa"/>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Times New Roman"/>
                <w:color w:val="auto"/>
                <w:sz w:val="24"/>
                <w:lang w:val="en-US" w:eastAsia="en-US"/>
              </w:rPr>
            </w:pPr>
            <w:r>
              <w:rPr>
                <w:rFonts w:hint="eastAsia" w:ascii="Times New Roman" w:hAnsi="Times New Roman" w:eastAsia="仿宋_GB2312" w:cs="Times New Roman"/>
                <w:color w:val="auto"/>
                <w:sz w:val="24"/>
              </w:rPr>
              <w:t>20</w:t>
            </w:r>
          </w:p>
        </w:tc>
        <w:tc>
          <w:tcPr>
            <w:tcW w:w="864" w:type="dxa"/>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szCs w:val="21"/>
              </w:rPr>
            </w:pPr>
          </w:p>
        </w:tc>
        <w:tc>
          <w:tcPr>
            <w:tcW w:w="2097" w:type="dxa"/>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jc w:val="center"/>
        </w:trPr>
        <w:tc>
          <w:tcPr>
            <w:tcW w:w="357"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szCs w:val="21"/>
                <w:lang w:val="en-US" w:eastAsia="zh-CN"/>
              </w:rPr>
            </w:pPr>
          </w:p>
        </w:tc>
        <w:tc>
          <w:tcPr>
            <w:tcW w:w="1348"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Times New Roman"/>
                <w:color w:val="auto"/>
                <w:sz w:val="24"/>
              </w:rPr>
            </w:pPr>
          </w:p>
        </w:tc>
        <w:tc>
          <w:tcPr>
            <w:tcW w:w="1112" w:type="dxa"/>
            <w:shd w:val="clear" w:color="auto" w:fill="FFFFFF"/>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Times New Roman"/>
                <w:color w:val="auto"/>
                <w:sz w:val="24"/>
                <w:lang w:val="en-US" w:eastAsia="en-US"/>
              </w:rPr>
            </w:pPr>
            <w:r>
              <w:rPr>
                <w:rFonts w:ascii="Times New Roman" w:hAnsi="Times New Roman" w:eastAsia="仿宋_GB2312" w:cs="Times New Roman"/>
                <w:color w:val="auto"/>
                <w:sz w:val="24"/>
              </w:rPr>
              <w:t>记录</w:t>
            </w:r>
          </w:p>
        </w:tc>
        <w:tc>
          <w:tcPr>
            <w:tcW w:w="3492" w:type="dxa"/>
            <w:shd w:val="clear" w:color="auto" w:fill="FFFFFF"/>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Times New Roman"/>
                <w:color w:val="auto"/>
                <w:sz w:val="24"/>
                <w:lang w:val="en-US" w:eastAsia="en-US"/>
              </w:rPr>
            </w:pPr>
            <w:r>
              <w:rPr>
                <w:rFonts w:ascii="Times New Roman" w:hAnsi="Times New Roman" w:eastAsia="仿宋_GB2312" w:cs="Times New Roman"/>
                <w:color w:val="auto"/>
                <w:sz w:val="24"/>
              </w:rPr>
              <w:t>记录完整性</w:t>
            </w:r>
          </w:p>
        </w:tc>
        <w:tc>
          <w:tcPr>
            <w:tcW w:w="5040" w:type="dxa"/>
            <w:shd w:val="clear" w:color="auto" w:fill="FFFFFF"/>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hint="eastAsia" w:ascii="Times New Roman" w:hAnsi="Times New Roman" w:eastAsia="仿宋_GB2312" w:cs="Times New Roman"/>
                <w:color w:val="auto"/>
                <w:sz w:val="24"/>
                <w:lang w:val="en-US" w:eastAsia="en-US"/>
              </w:rPr>
            </w:pPr>
            <w:r>
              <w:rPr>
                <w:rFonts w:ascii="Times New Roman" w:hAnsi="Times New Roman" w:eastAsia="仿宋_GB2312" w:cs="Times New Roman"/>
                <w:color w:val="auto"/>
                <w:sz w:val="24"/>
              </w:rPr>
              <w:t>涉及</w:t>
            </w:r>
            <w:r>
              <w:rPr>
                <w:rFonts w:hint="eastAsia" w:ascii="Times New Roman" w:hAnsi="Times New Roman" w:eastAsia="仿宋_GB2312" w:cs="Times New Roman"/>
                <w:color w:val="auto"/>
                <w:sz w:val="24"/>
                <w:lang w:val="en-US" w:eastAsia="zh-CN"/>
              </w:rPr>
              <w:t>监测</w:t>
            </w:r>
            <w:r>
              <w:rPr>
                <w:rFonts w:ascii="Times New Roman" w:hAnsi="Times New Roman" w:eastAsia="仿宋_GB2312" w:cs="Times New Roman"/>
                <w:color w:val="auto"/>
                <w:sz w:val="24"/>
              </w:rPr>
              <w:t>过程中</w:t>
            </w:r>
            <w:r>
              <w:rPr>
                <w:rFonts w:hint="eastAsia" w:ascii="Times New Roman" w:hAnsi="Times New Roman" w:eastAsia="仿宋_GB2312" w:cs="Times New Roman"/>
                <w:color w:val="auto"/>
                <w:sz w:val="24"/>
                <w:lang w:val="en-US" w:eastAsia="zh-CN"/>
              </w:rPr>
              <w:t>照片、影像、个体数量、痕迹数量</w:t>
            </w:r>
            <w:r>
              <w:rPr>
                <w:rFonts w:ascii="Times New Roman" w:hAnsi="Times New Roman" w:eastAsia="仿宋_GB2312" w:cs="Times New Roman"/>
                <w:color w:val="auto"/>
                <w:sz w:val="24"/>
              </w:rPr>
              <w:t>等原始记录，未保存或保存不完整，则每项扣1-3分。</w:t>
            </w:r>
          </w:p>
        </w:tc>
        <w:tc>
          <w:tcPr>
            <w:tcW w:w="648" w:type="dxa"/>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Times New Roman"/>
                <w:color w:val="auto"/>
                <w:sz w:val="24"/>
                <w:lang w:val="en-US" w:eastAsia="en-US"/>
              </w:rPr>
            </w:pPr>
            <w:r>
              <w:rPr>
                <w:rFonts w:hint="eastAsia" w:ascii="Times New Roman" w:hAnsi="Times New Roman" w:eastAsia="仿宋_GB2312" w:cs="Times New Roman"/>
                <w:color w:val="auto"/>
                <w:sz w:val="24"/>
              </w:rPr>
              <w:t>20</w:t>
            </w:r>
          </w:p>
        </w:tc>
        <w:tc>
          <w:tcPr>
            <w:tcW w:w="864" w:type="dxa"/>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szCs w:val="21"/>
              </w:rPr>
            </w:pPr>
          </w:p>
        </w:tc>
        <w:tc>
          <w:tcPr>
            <w:tcW w:w="2097" w:type="dxa"/>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szCs w:val="21"/>
              </w:rPr>
            </w:pPr>
          </w:p>
        </w:tc>
      </w:tr>
    </w:tbl>
    <w:p>
      <w:pPr>
        <w:pStyle w:val="4"/>
        <w:rPr>
          <w:rFonts w:hint="default"/>
          <w:lang w:val="en-US" w:eastAsia="zh-CN"/>
        </w:rPr>
      </w:pPr>
      <w:r>
        <w:rPr>
          <w:rFonts w:hint="eastAsia"/>
          <w:lang w:val="en-US" w:eastAsia="zh-CN"/>
        </w:rPr>
        <w:t>考核人：                                                          考核日期：</w:t>
      </w:r>
    </w:p>
    <w:sectPr>
      <w:pgSz w:w="16838" w:h="11906" w:orient="landscape"/>
      <w:pgMar w:top="1417" w:right="1417" w:bottom="1417" w:left="1417" w:header="720" w:footer="720" w:gutter="0"/>
      <w:pgNumType w:start="1"/>
      <w:cols w:space="0" w:num="1"/>
      <w:rtlGutter w:val="0"/>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ＭＳ ゴシック">
    <w:altName w:val="仿宋_GB2312"/>
    <w:panose1 w:val="00000000000000000000"/>
    <w:charset w:val="00"/>
    <w:family w:val="auto"/>
    <w:pitch w:val="default"/>
    <w:sig w:usb0="00000000" w:usb1="00000000" w:usb2="00000000" w:usb3="00000000" w:csb0="00000000" w:csb1="00000000"/>
  </w:font>
  <w:font w:name="仿宋_GB2312">
    <w:panose1 w:val="02010609030101010101"/>
    <w:charset w:val="86"/>
    <w:family w:val="auto"/>
    <w:pitch w:val="default"/>
    <w:sig w:usb0="00000001" w:usb1="080E0000" w:usb2="00000000" w:usb3="00000000" w:csb0="00040000" w:csb1="00000000"/>
  </w:font>
  <w:font w:name="Courier">
    <w:altName w:val="Liberation Mono"/>
    <w:panose1 w:val="02070409020205020404"/>
    <w:charset w:val="00"/>
    <w:family w:val="auto"/>
    <w:pitch w:val="default"/>
    <w:sig w:usb0="00000000" w:usb1="00000000" w:usb2="00000000" w:usb3="00000000" w:csb0="00000001" w:csb1="00000000"/>
  </w:font>
  <w:font w:name="Liberation Mono">
    <w:panose1 w:val="02070409020205020404"/>
    <w:charset w:val="00"/>
    <w:family w:val="auto"/>
    <w:pitch w:val="default"/>
    <w:sig w:usb0="A00002AF" w:usb1="400078FB" w:usb2="00000000" w:usb3="00000000" w:csb0="6000009F" w:csb1="DFD70000"/>
  </w:font>
  <w:font w:name="ＭＳ 明朝">
    <w:altName w:val="仿宋_GB2312"/>
    <w:panose1 w:val="00000000000000000000"/>
    <w:charset w:val="00"/>
    <w:family w:val="auto"/>
    <w:pitch w:val="default"/>
    <w:sig w:usb0="00000000" w:usb1="00000000" w:usb2="00000000" w:usb3="00000000" w:csb0="00000000" w:csb1="00000000"/>
  </w:font>
  <w:font w:name="Cambria">
    <w:altName w:val="Noto Sans Syriac Eastern"/>
    <w:panose1 w:val="02040503050406030204"/>
    <w:charset w:val="00"/>
    <w:family w:val="roman"/>
    <w:pitch w:val="default"/>
    <w:sig w:usb0="00000000" w:usb1="00000000" w:usb2="02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Math">
    <w:altName w:val="DejaVu Math TeX Gyre"/>
    <w:panose1 w:val="02040503050406030204"/>
    <w:charset w:val="00"/>
    <w:family w:val="roman"/>
    <w:pitch w:val="default"/>
    <w:sig w:usb0="00000000" w:usb1="00000000" w:usb2="02000000" w:usb3="00000000" w:csb0="2000019F" w:csb1="00000000"/>
  </w:font>
  <w:font w:name="DejaVu Math TeX Gyre">
    <w:panose1 w:val="02000503000000000000"/>
    <w:charset w:val="00"/>
    <w:family w:val="auto"/>
    <w:pitch w:val="default"/>
    <w:sig w:usb0="A10000EF" w:usb1="4201F9EE" w:usb2="02000000" w:usb3="00000000" w:csb0="60000193" w:csb1="0DD40000"/>
  </w:font>
  <w:font w:name="东文宋体">
    <w:altName w:val="方正书宋_GBK"/>
    <w:panose1 w:val="00000000000000000000"/>
    <w:charset w:val="00"/>
    <w:family w:val="auto"/>
    <w:pitch w:val="default"/>
    <w:sig w:usb0="00000000" w:usb1="00000000" w:usb2="00000000" w:usb3="00000000" w:csb0="00000000" w:csb1="00000000"/>
  </w:font>
  <w:font w:name="方正书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60" w:lineRule="auto"/>
      </w:pPr>
      <w:r>
        <w:separator/>
      </w:r>
    </w:p>
  </w:footnote>
  <w:footnote w:type="continuationSeparator" w:id="1">
    <w:p>
      <w:pPr>
        <w:spacing w:before="0" w:after="0"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252F74F"/>
    <w:multiLevelType w:val="singleLevel"/>
    <w:tmpl w:val="B252F74F"/>
    <w:lvl w:ilvl="0" w:tentative="0">
      <w:start w:val="1"/>
      <w:numFmt w:val="chineseCounting"/>
      <w:suff w:val="nothing"/>
      <w:lvlText w:val="（%1）"/>
      <w:lvlJc w:val="left"/>
      <w:rPr>
        <w:rFonts w:hint="eastAsia"/>
      </w:rPr>
    </w:lvl>
  </w:abstractNum>
  <w:abstractNum w:abstractNumId="1">
    <w:nsid w:val="FFFFFF7E"/>
    <w:multiLevelType w:val="singleLevel"/>
    <w:tmpl w:val="FFFFFF7E"/>
    <w:lvl w:ilvl="0" w:tentative="0">
      <w:start w:val="1"/>
      <w:numFmt w:val="decimal"/>
      <w:pStyle w:val="21"/>
      <w:lvlText w:val="%1."/>
      <w:lvlJc w:val="left"/>
      <w:pPr>
        <w:tabs>
          <w:tab w:val="left" w:pos="1080"/>
        </w:tabs>
        <w:ind w:left="1080" w:hanging="360"/>
      </w:pPr>
    </w:lvl>
  </w:abstractNum>
  <w:abstractNum w:abstractNumId="2">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3">
    <w:nsid w:val="FFFFFF82"/>
    <w:multiLevelType w:val="singleLevel"/>
    <w:tmpl w:val="FFFFFF82"/>
    <w:lvl w:ilvl="0" w:tentative="0">
      <w:start w:val="1"/>
      <w:numFmt w:val="bullet"/>
      <w:pStyle w:val="19"/>
      <w:lvlText w:val=""/>
      <w:lvlJc w:val="left"/>
      <w:pPr>
        <w:tabs>
          <w:tab w:val="left" w:pos="1080"/>
        </w:tabs>
        <w:ind w:left="1080" w:hanging="360"/>
      </w:pPr>
      <w:rPr>
        <w:rFonts w:hint="default" w:ascii="Symbol" w:hAnsi="Symbol"/>
      </w:rPr>
    </w:lvl>
  </w:abstractNum>
  <w:abstractNum w:abstractNumId="4">
    <w:nsid w:val="FFFFFF83"/>
    <w:multiLevelType w:val="singleLevel"/>
    <w:tmpl w:val="FFFFFF83"/>
    <w:lvl w:ilvl="0" w:tentative="0">
      <w:start w:val="1"/>
      <w:numFmt w:val="bullet"/>
      <w:pStyle w:val="24"/>
      <w:lvlText w:val=""/>
      <w:lvlJc w:val="left"/>
      <w:pPr>
        <w:tabs>
          <w:tab w:val="left" w:pos="720"/>
        </w:tabs>
        <w:ind w:left="720" w:hanging="360"/>
      </w:pPr>
      <w:rPr>
        <w:rFonts w:hint="default" w:ascii="Symbol" w:hAnsi="Symbol"/>
      </w:rPr>
    </w:lvl>
  </w:abstractNum>
  <w:abstractNum w:abstractNumId="5">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6">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abstractNum w:abstractNumId="7">
    <w:nsid w:val="17803DA4"/>
    <w:multiLevelType w:val="multilevel"/>
    <w:tmpl w:val="17803DA4"/>
    <w:lvl w:ilvl="0" w:tentative="0">
      <w:start w:val="1"/>
      <w:numFmt w:val="decimal"/>
      <w:pStyle w:val="177"/>
      <w:lvlText w:val="（%1）"/>
      <w:lvlJc w:val="left"/>
      <w:pPr>
        <w:ind w:left="1080" w:hanging="1080"/>
      </w:pPr>
      <w:rPr>
        <w:rFonts w:hint="default"/>
      </w:rPr>
    </w:lvl>
    <w:lvl w:ilvl="1" w:tentative="0">
      <w:start w:val="1"/>
      <w:numFmt w:val="lowerLetter"/>
      <w:lvlText w:val="%2)"/>
      <w:lvlJc w:val="left"/>
      <w:pPr>
        <w:ind w:left="1625" w:hanging="420"/>
      </w:pPr>
    </w:lvl>
    <w:lvl w:ilvl="2" w:tentative="0">
      <w:start w:val="1"/>
      <w:numFmt w:val="lowerRoman"/>
      <w:lvlText w:val="%3."/>
      <w:lvlJc w:val="right"/>
      <w:pPr>
        <w:ind w:left="2045" w:hanging="420"/>
      </w:pPr>
    </w:lvl>
    <w:lvl w:ilvl="3" w:tentative="0">
      <w:start w:val="1"/>
      <w:numFmt w:val="decimal"/>
      <w:lvlText w:val="%4."/>
      <w:lvlJc w:val="left"/>
      <w:pPr>
        <w:ind w:left="2465" w:hanging="420"/>
      </w:pPr>
    </w:lvl>
    <w:lvl w:ilvl="4" w:tentative="0">
      <w:start w:val="1"/>
      <w:numFmt w:val="lowerLetter"/>
      <w:lvlText w:val="%5)"/>
      <w:lvlJc w:val="left"/>
      <w:pPr>
        <w:ind w:left="2885" w:hanging="420"/>
      </w:pPr>
    </w:lvl>
    <w:lvl w:ilvl="5" w:tentative="0">
      <w:start w:val="1"/>
      <w:numFmt w:val="lowerRoman"/>
      <w:lvlText w:val="%6."/>
      <w:lvlJc w:val="right"/>
      <w:pPr>
        <w:ind w:left="3305" w:hanging="420"/>
      </w:pPr>
    </w:lvl>
    <w:lvl w:ilvl="6" w:tentative="0">
      <w:start w:val="1"/>
      <w:numFmt w:val="decimal"/>
      <w:lvlText w:val="%7."/>
      <w:lvlJc w:val="left"/>
      <w:pPr>
        <w:ind w:left="3725" w:hanging="420"/>
      </w:pPr>
    </w:lvl>
    <w:lvl w:ilvl="7" w:tentative="0">
      <w:start w:val="1"/>
      <w:numFmt w:val="lowerLetter"/>
      <w:lvlText w:val="%8)"/>
      <w:lvlJc w:val="left"/>
      <w:pPr>
        <w:ind w:left="4145" w:hanging="420"/>
      </w:pPr>
    </w:lvl>
    <w:lvl w:ilvl="8" w:tentative="0">
      <w:start w:val="1"/>
      <w:numFmt w:val="lowerRoman"/>
      <w:lvlText w:val="%9."/>
      <w:lvlJc w:val="right"/>
      <w:pPr>
        <w:ind w:left="4565" w:hanging="420"/>
      </w:pPr>
    </w:lvl>
  </w:abstractNum>
  <w:abstractNum w:abstractNumId="8">
    <w:nsid w:val="2212F01F"/>
    <w:multiLevelType w:val="singleLevel"/>
    <w:tmpl w:val="2212F01F"/>
    <w:lvl w:ilvl="0" w:tentative="0">
      <w:start w:val="1"/>
      <w:numFmt w:val="chineseCounting"/>
      <w:suff w:val="nothing"/>
      <w:lvlText w:val="（%1）"/>
      <w:lvlJc w:val="left"/>
      <w:rPr>
        <w:rFonts w:hint="eastAsia"/>
      </w:rPr>
    </w:lvl>
  </w:abstractNum>
  <w:abstractNum w:abstractNumId="9">
    <w:nsid w:val="59FA0D41"/>
    <w:multiLevelType w:val="singleLevel"/>
    <w:tmpl w:val="59FA0D41"/>
    <w:lvl w:ilvl="0" w:tentative="0">
      <w:start w:val="1"/>
      <w:numFmt w:val="chineseCounting"/>
      <w:suff w:val="nothing"/>
      <w:lvlText w:val="%1、"/>
      <w:lvlJc w:val="left"/>
      <w:rPr>
        <w:rFonts w:hint="eastAsia"/>
      </w:rPr>
    </w:lvl>
  </w:abstractNum>
  <w:num w:numId="1">
    <w:abstractNumId w:val="2"/>
  </w:num>
  <w:num w:numId="2">
    <w:abstractNumId w:val="5"/>
  </w:num>
  <w:num w:numId="3">
    <w:abstractNumId w:val="6"/>
  </w:num>
  <w:num w:numId="4">
    <w:abstractNumId w:val="3"/>
  </w:num>
  <w:num w:numId="5">
    <w:abstractNumId w:val="1"/>
  </w:num>
  <w:num w:numId="6">
    <w:abstractNumId w:val="4"/>
  </w:num>
  <w:num w:numId="7">
    <w:abstractNumId w:val="7"/>
  </w:num>
  <w:num w:numId="8">
    <w:abstractNumId w:val="9"/>
  </w:num>
  <w:num w:numId="9">
    <w:abstractNumId w:val="0"/>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08307E"/>
    <w:rsid w:val="000925CA"/>
    <w:rsid w:val="0015074B"/>
    <w:rsid w:val="002664C5"/>
    <w:rsid w:val="0029639D"/>
    <w:rsid w:val="00326F90"/>
    <w:rsid w:val="00374BBB"/>
    <w:rsid w:val="003B4051"/>
    <w:rsid w:val="0040728D"/>
    <w:rsid w:val="00451E47"/>
    <w:rsid w:val="00471EFC"/>
    <w:rsid w:val="00612F5D"/>
    <w:rsid w:val="00662D44"/>
    <w:rsid w:val="007113BB"/>
    <w:rsid w:val="00752F40"/>
    <w:rsid w:val="007B3509"/>
    <w:rsid w:val="00875C1E"/>
    <w:rsid w:val="009526E6"/>
    <w:rsid w:val="009D1CC0"/>
    <w:rsid w:val="009F54FB"/>
    <w:rsid w:val="00AA1D8D"/>
    <w:rsid w:val="00B47730"/>
    <w:rsid w:val="00CB0664"/>
    <w:rsid w:val="00E47D37"/>
    <w:rsid w:val="00FC693F"/>
    <w:rsid w:val="0B7618CA"/>
    <w:rsid w:val="14391796"/>
    <w:rsid w:val="171C5E57"/>
    <w:rsid w:val="199F351B"/>
    <w:rsid w:val="27B75155"/>
    <w:rsid w:val="3716C523"/>
    <w:rsid w:val="395A4645"/>
    <w:rsid w:val="3EDA6B0C"/>
    <w:rsid w:val="3FAD388D"/>
    <w:rsid w:val="4804405E"/>
    <w:rsid w:val="4A5D10BC"/>
    <w:rsid w:val="53E421E6"/>
    <w:rsid w:val="5BFC6F5F"/>
    <w:rsid w:val="5F5908DF"/>
    <w:rsid w:val="65290C3F"/>
    <w:rsid w:val="6A526CDE"/>
    <w:rsid w:val="6E7B2187"/>
    <w:rsid w:val="6F7DF9AB"/>
    <w:rsid w:val="71FC1B37"/>
    <w:rsid w:val="79B7A916"/>
    <w:rsid w:val="7D1D3B52"/>
    <w:rsid w:val="7FAE1153"/>
    <w:rsid w:val="7FDBD3A4"/>
    <w:rsid w:val="7FFFFA34"/>
    <w:rsid w:val="B4DAD0C6"/>
    <w:rsid w:val="B6192B83"/>
    <w:rsid w:val="B8FF1920"/>
    <w:rsid w:val="BBE7E0AC"/>
    <w:rsid w:val="BDEBF2E7"/>
    <w:rsid w:val="DD727A65"/>
    <w:rsid w:val="EBBE7048"/>
    <w:rsid w:val="F7EFFDDD"/>
    <w:rsid w:val="FDFB18F8"/>
    <w:rsid w:val="FFBF6479"/>
    <w:rsid w:val="FFE633B6"/>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0" w:line="360" w:lineRule="auto"/>
      <w:jc w:val="both"/>
    </w:pPr>
    <w:rPr>
      <w:rFonts w:ascii="Arial" w:hAnsi="Arial" w:eastAsia="宋体" w:cstheme="minorBidi"/>
      <w:sz w:val="24"/>
      <w:szCs w:val="22"/>
      <w:lang w:val="en-US" w:eastAsia="en-US" w:bidi="ar-SA"/>
    </w:rPr>
  </w:style>
  <w:style w:type="paragraph" w:styleId="3">
    <w:name w:val="heading 1"/>
    <w:basedOn w:val="1"/>
    <w:next w:val="1"/>
    <w:link w:val="147"/>
    <w:qFormat/>
    <w:uiPriority w:val="9"/>
    <w:pPr>
      <w:keepNext/>
      <w:keepLines/>
      <w:spacing w:before="280" w:after="120" w:line="312" w:lineRule="auto"/>
      <w:jc w:val="left"/>
      <w:outlineLvl w:val="0"/>
    </w:pPr>
    <w:rPr>
      <w:rFonts w:asciiTheme="majorHAnsi" w:hAnsiTheme="majorHAnsi" w:eastAsiaTheme="majorEastAsia" w:cstheme="majorBidi"/>
      <w:b/>
      <w:bCs/>
      <w:color w:val="000000"/>
      <w:sz w:val="32"/>
      <w:szCs w:val="28"/>
    </w:rPr>
  </w:style>
  <w:style w:type="paragraph" w:styleId="4">
    <w:name w:val="heading 2"/>
    <w:basedOn w:val="1"/>
    <w:next w:val="1"/>
    <w:link w:val="148"/>
    <w:unhideWhenUsed/>
    <w:qFormat/>
    <w:uiPriority w:val="9"/>
    <w:pPr>
      <w:keepNext/>
      <w:keepLines/>
      <w:spacing w:before="220" w:after="100" w:line="312" w:lineRule="auto"/>
      <w:jc w:val="left"/>
      <w:outlineLvl w:val="1"/>
    </w:pPr>
    <w:rPr>
      <w:rFonts w:asciiTheme="majorHAnsi" w:hAnsiTheme="majorHAnsi" w:eastAsiaTheme="majorEastAsia" w:cstheme="majorBidi"/>
      <w:b/>
      <w:bCs/>
      <w:color w:val="000000"/>
      <w:sz w:val="28"/>
      <w:szCs w:val="26"/>
    </w:rPr>
  </w:style>
  <w:style w:type="paragraph" w:styleId="5">
    <w:name w:val="heading 3"/>
    <w:basedOn w:val="1"/>
    <w:next w:val="1"/>
    <w:link w:val="149"/>
    <w:unhideWhenUsed/>
    <w:qFormat/>
    <w:uiPriority w:val="9"/>
    <w:pPr>
      <w:keepNext/>
      <w:keepLines/>
      <w:spacing w:before="180" w:after="80" w:line="312" w:lineRule="auto"/>
      <w:jc w:val="left"/>
      <w:outlineLvl w:val="2"/>
    </w:pPr>
    <w:rPr>
      <w:rFonts w:asciiTheme="majorHAnsi" w:hAnsiTheme="majorHAnsi" w:eastAsiaTheme="majorEastAsia" w:cstheme="majorBidi"/>
      <w:b/>
      <w:bCs/>
      <w:color w:val="000000"/>
    </w:rPr>
  </w:style>
  <w:style w:type="paragraph" w:styleId="6">
    <w:name w:val="heading 4"/>
    <w:basedOn w:val="1"/>
    <w:next w:val="1"/>
    <w:link w:val="159"/>
    <w:semiHidden/>
    <w:unhideWhenUsed/>
    <w:qFormat/>
    <w:uiPriority w:val="9"/>
    <w:pPr>
      <w:keepNext/>
      <w:keepLines/>
      <w:spacing w:before="20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60"/>
    <w:semiHidden/>
    <w:unhideWhenUsed/>
    <w:qFormat/>
    <w:uiPriority w:val="9"/>
    <w:pPr>
      <w:keepNext/>
      <w:keepLines/>
      <w:spacing w:before="20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61"/>
    <w:semiHidden/>
    <w:unhideWhenUsed/>
    <w:qFormat/>
    <w:uiPriority w:val="9"/>
    <w:pPr>
      <w:keepNext/>
      <w:keepLines/>
      <w:spacing w:before="20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62"/>
    <w:semiHidden/>
    <w:unhideWhenUsed/>
    <w:qFormat/>
    <w:uiPriority w:val="9"/>
    <w:pPr>
      <w:keepNext/>
      <w:keepLines/>
      <w:spacing w:before="20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63"/>
    <w:semiHidden/>
    <w:unhideWhenUsed/>
    <w:qFormat/>
    <w:uiPriority w:val="9"/>
    <w:pPr>
      <w:keepNext/>
      <w:keepLines/>
      <w:spacing w:before="20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64"/>
    <w:semiHidden/>
    <w:unhideWhenUsed/>
    <w:qFormat/>
    <w:uiPriority w:val="9"/>
    <w:pPr>
      <w:keepNext/>
      <w:keepLines/>
      <w:spacing w:before="20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9">
    <w:name w:val="Default Paragraph Font"/>
    <w:semiHidden/>
    <w:unhideWhenUsed/>
    <w:qFormat/>
    <w:uiPriority w:val="1"/>
  </w:style>
  <w:style w:type="table" w:default="1" w:styleId="39">
    <w:name w:val="Normal Table"/>
    <w:semiHidden/>
    <w:unhideWhenUsed/>
    <w:qFormat/>
    <w:uiPriority w:val="99"/>
    <w:tblPr>
      <w:tblCellMar>
        <w:top w:w="0" w:type="dxa"/>
        <w:left w:w="108" w:type="dxa"/>
        <w:bottom w:w="0" w:type="dxa"/>
        <w:right w:w="108" w:type="dxa"/>
      </w:tblCellMar>
    </w:tblPr>
  </w:style>
  <w:style w:type="paragraph" w:styleId="2">
    <w:name w:val="macro"/>
    <w:link w:val="156"/>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qFormat/>
    <w:uiPriority w:val="99"/>
    <w:pPr>
      <w:ind w:left="1080" w:hanging="360"/>
      <w:contextualSpacing/>
    </w:pPr>
  </w:style>
  <w:style w:type="paragraph" w:styleId="13">
    <w:name w:val="List Number 2"/>
    <w:basedOn w:val="1"/>
    <w:unhideWhenUsed/>
    <w:qFormat/>
    <w:uiPriority w:val="99"/>
    <w:pPr>
      <w:numPr>
        <w:ilvl w:val="0"/>
        <w:numId w:val="1"/>
      </w:numPr>
      <w:contextualSpacing/>
    </w:pPr>
  </w:style>
  <w:style w:type="paragraph" w:styleId="14">
    <w:name w:val="List Number"/>
    <w:basedOn w:val="1"/>
    <w:unhideWhenUsed/>
    <w:qFormat/>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qFormat/>
    <w:uiPriority w:val="99"/>
    <w:pPr>
      <w:numPr>
        <w:ilvl w:val="0"/>
        <w:numId w:val="3"/>
      </w:numPr>
      <w:contextualSpacing/>
    </w:pPr>
  </w:style>
  <w:style w:type="paragraph" w:styleId="17">
    <w:name w:val="annotation text"/>
    <w:basedOn w:val="1"/>
    <w:link w:val="173"/>
    <w:semiHidden/>
    <w:unhideWhenUsed/>
    <w:qFormat/>
    <w:uiPriority w:val="99"/>
    <w:pPr>
      <w:jc w:val="left"/>
    </w:pPr>
  </w:style>
  <w:style w:type="paragraph" w:styleId="18">
    <w:name w:val="Body Text 3"/>
    <w:basedOn w:val="1"/>
    <w:link w:val="155"/>
    <w:unhideWhenUsed/>
    <w:qFormat/>
    <w:uiPriority w:val="99"/>
    <w:pPr>
      <w:spacing w:after="120"/>
    </w:pPr>
    <w:rPr>
      <w:sz w:val="16"/>
      <w:szCs w:val="16"/>
    </w:rPr>
  </w:style>
  <w:style w:type="paragraph" w:styleId="19">
    <w:name w:val="List Bullet 3"/>
    <w:basedOn w:val="1"/>
    <w:unhideWhenUsed/>
    <w:qFormat/>
    <w:uiPriority w:val="99"/>
    <w:pPr>
      <w:numPr>
        <w:ilvl w:val="0"/>
        <w:numId w:val="4"/>
      </w:numPr>
      <w:contextualSpacing/>
    </w:pPr>
  </w:style>
  <w:style w:type="paragraph" w:styleId="20">
    <w:name w:val="Body Text"/>
    <w:basedOn w:val="1"/>
    <w:link w:val="153"/>
    <w:unhideWhenUsed/>
    <w:qFormat/>
    <w:uiPriority w:val="99"/>
    <w:pPr>
      <w:spacing w:after="120"/>
    </w:pPr>
  </w:style>
  <w:style w:type="paragraph" w:styleId="21">
    <w:name w:val="List Number 3"/>
    <w:basedOn w:val="1"/>
    <w:unhideWhenUsed/>
    <w:qFormat/>
    <w:uiPriority w:val="99"/>
    <w:pPr>
      <w:numPr>
        <w:ilvl w:val="0"/>
        <w:numId w:val="5"/>
      </w:numPr>
      <w:contextualSpacing/>
    </w:pPr>
  </w:style>
  <w:style w:type="paragraph" w:styleId="22">
    <w:name w:val="List 2"/>
    <w:basedOn w:val="1"/>
    <w:unhideWhenUsed/>
    <w:qFormat/>
    <w:uiPriority w:val="99"/>
    <w:pPr>
      <w:ind w:left="720" w:hanging="360"/>
      <w:contextualSpacing/>
    </w:pPr>
  </w:style>
  <w:style w:type="paragraph" w:styleId="23">
    <w:name w:val="List Continue"/>
    <w:basedOn w:val="1"/>
    <w:unhideWhenUsed/>
    <w:qFormat/>
    <w:uiPriority w:val="99"/>
    <w:pPr>
      <w:spacing w:after="120"/>
      <w:ind w:left="360"/>
      <w:contextualSpacing/>
    </w:pPr>
  </w:style>
  <w:style w:type="paragraph" w:styleId="24">
    <w:name w:val="List Bullet 2"/>
    <w:basedOn w:val="1"/>
    <w:unhideWhenUsed/>
    <w:qFormat/>
    <w:uiPriority w:val="99"/>
    <w:pPr>
      <w:numPr>
        <w:ilvl w:val="0"/>
        <w:numId w:val="6"/>
      </w:numPr>
      <w:contextualSpacing/>
    </w:pPr>
  </w:style>
  <w:style w:type="paragraph" w:styleId="25">
    <w:name w:val="Balloon Text"/>
    <w:basedOn w:val="1"/>
    <w:link w:val="175"/>
    <w:semiHidden/>
    <w:unhideWhenUsed/>
    <w:qFormat/>
    <w:uiPriority w:val="99"/>
    <w:pPr>
      <w:spacing w:line="240" w:lineRule="auto"/>
    </w:pPr>
    <w:rPr>
      <w:sz w:val="18"/>
      <w:szCs w:val="18"/>
    </w:rPr>
  </w:style>
  <w:style w:type="paragraph" w:styleId="26">
    <w:name w:val="footer"/>
    <w:basedOn w:val="1"/>
    <w:link w:val="145"/>
    <w:unhideWhenUsed/>
    <w:qFormat/>
    <w:uiPriority w:val="99"/>
    <w:pPr>
      <w:tabs>
        <w:tab w:val="center" w:pos="4680"/>
        <w:tab w:val="right" w:pos="9360"/>
      </w:tabs>
      <w:spacing w:line="240" w:lineRule="auto"/>
    </w:pPr>
  </w:style>
  <w:style w:type="paragraph" w:styleId="27">
    <w:name w:val="header"/>
    <w:basedOn w:val="1"/>
    <w:link w:val="144"/>
    <w:unhideWhenUsed/>
    <w:qFormat/>
    <w:uiPriority w:val="99"/>
    <w:pPr>
      <w:tabs>
        <w:tab w:val="center" w:pos="4680"/>
        <w:tab w:val="right" w:pos="9360"/>
      </w:tabs>
      <w:spacing w:line="240" w:lineRule="auto"/>
    </w:pPr>
  </w:style>
  <w:style w:type="paragraph" w:styleId="28">
    <w:name w:val="toc 1"/>
    <w:basedOn w:val="1"/>
    <w:next w:val="1"/>
    <w:unhideWhenUsed/>
    <w:qFormat/>
    <w:uiPriority w:val="39"/>
  </w:style>
  <w:style w:type="paragraph" w:styleId="29">
    <w:name w:val="Subtitle"/>
    <w:basedOn w:val="1"/>
    <w:next w:val="1"/>
    <w:link w:val="151"/>
    <w:qFormat/>
    <w:uiPriority w:val="11"/>
    <w:rPr>
      <w:rFonts w:asciiTheme="majorHAnsi" w:hAnsiTheme="majorHAnsi" w:eastAsiaTheme="majorEastAsia" w:cstheme="majorBidi"/>
      <w:i/>
      <w:iCs/>
      <w:color w:val="4F81BD" w:themeColor="accent1"/>
      <w:spacing w:val="15"/>
      <w:szCs w:val="24"/>
      <w14:textFill>
        <w14:solidFill>
          <w14:schemeClr w14:val="accent1"/>
        </w14:solidFill>
      </w14:textFill>
    </w:rPr>
  </w:style>
  <w:style w:type="paragraph" w:styleId="30">
    <w:name w:val="List"/>
    <w:basedOn w:val="1"/>
    <w:unhideWhenUsed/>
    <w:qFormat/>
    <w:uiPriority w:val="99"/>
    <w:pPr>
      <w:ind w:left="360" w:hanging="360"/>
      <w:contextualSpacing/>
    </w:pPr>
  </w:style>
  <w:style w:type="paragraph" w:styleId="31">
    <w:name w:val="toc 2"/>
    <w:basedOn w:val="1"/>
    <w:next w:val="1"/>
    <w:unhideWhenUsed/>
    <w:qFormat/>
    <w:uiPriority w:val="39"/>
    <w:pPr>
      <w:ind w:left="420" w:leftChars="200"/>
    </w:pPr>
  </w:style>
  <w:style w:type="paragraph" w:styleId="32">
    <w:name w:val="Body Text 2"/>
    <w:basedOn w:val="1"/>
    <w:link w:val="154"/>
    <w:unhideWhenUsed/>
    <w:qFormat/>
    <w:uiPriority w:val="99"/>
    <w:pPr>
      <w:spacing w:after="120" w:line="480" w:lineRule="auto"/>
    </w:pPr>
  </w:style>
  <w:style w:type="paragraph" w:styleId="33">
    <w:name w:val="List Continue 2"/>
    <w:basedOn w:val="1"/>
    <w:unhideWhenUsed/>
    <w:qFormat/>
    <w:uiPriority w:val="99"/>
    <w:pPr>
      <w:spacing w:after="120"/>
      <w:ind w:left="720"/>
      <w:contextualSpacing/>
    </w:pPr>
  </w:style>
  <w:style w:type="paragraph" w:styleId="34">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35">
    <w:name w:val="Normal (Web)"/>
    <w:basedOn w:val="1"/>
    <w:qFormat/>
    <w:uiPriority w:val="0"/>
    <w:rPr>
      <w:sz w:val="24"/>
    </w:rPr>
  </w:style>
  <w:style w:type="paragraph" w:styleId="36">
    <w:name w:val="List Continue 3"/>
    <w:basedOn w:val="1"/>
    <w:unhideWhenUsed/>
    <w:qFormat/>
    <w:uiPriority w:val="99"/>
    <w:pPr>
      <w:spacing w:after="120"/>
      <w:ind w:left="1080"/>
      <w:contextualSpacing/>
    </w:pPr>
  </w:style>
  <w:style w:type="paragraph" w:styleId="37">
    <w:name w:val="Title"/>
    <w:basedOn w:val="1"/>
    <w:next w:val="1"/>
    <w:link w:val="150"/>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paragraph" w:styleId="38">
    <w:name w:val="annotation subject"/>
    <w:basedOn w:val="17"/>
    <w:next w:val="17"/>
    <w:link w:val="174"/>
    <w:semiHidden/>
    <w:unhideWhenUsed/>
    <w:qFormat/>
    <w:uiPriority w:val="99"/>
    <w:rPr>
      <w:b/>
      <w:bCs/>
    </w:rPr>
  </w:style>
  <w:style w:type="table" w:styleId="40">
    <w:name w:val="Table Grid"/>
    <w:basedOn w:val="39"/>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41">
    <w:name w:val="Light Shading"/>
    <w:basedOn w:val="39"/>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42">
    <w:name w:val="Light Shading Accent 1"/>
    <w:basedOn w:val="39"/>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43">
    <w:name w:val="Light Shading Accent 2"/>
    <w:basedOn w:val="39"/>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44">
    <w:name w:val="Light Shading Accent 3"/>
    <w:basedOn w:val="39"/>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5">
    <w:name w:val="Light Shading Accent 4"/>
    <w:basedOn w:val="39"/>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46">
    <w:name w:val="Light Shading Accent 5"/>
    <w:basedOn w:val="39"/>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7">
    <w:name w:val="Light Shading Accent 6"/>
    <w:basedOn w:val="39"/>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8">
    <w:name w:val="Light List"/>
    <w:basedOn w:val="39"/>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9">
    <w:name w:val="Light List Accent 1"/>
    <w:basedOn w:val="39"/>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50">
    <w:name w:val="Light List Accent 2"/>
    <w:basedOn w:val="39"/>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51">
    <w:name w:val="Light List Accent 3"/>
    <w:basedOn w:val="39"/>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52">
    <w:name w:val="Light List Accent 4"/>
    <w:basedOn w:val="39"/>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53">
    <w:name w:val="Light List Accent 5"/>
    <w:basedOn w:val="39"/>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54">
    <w:name w:val="Light List Accent 6"/>
    <w:basedOn w:val="39"/>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55">
    <w:name w:val="Light Grid"/>
    <w:basedOn w:val="39"/>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56">
    <w:name w:val="Light Grid Accent 1"/>
    <w:basedOn w:val="39"/>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7">
    <w:name w:val="Light Grid Accent 2"/>
    <w:basedOn w:val="39"/>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8">
    <w:name w:val="Light Grid Accent 3"/>
    <w:basedOn w:val="39"/>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9">
    <w:name w:val="Light Grid Accent 4"/>
    <w:basedOn w:val="39"/>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60">
    <w:name w:val="Light Grid Accent 5"/>
    <w:basedOn w:val="39"/>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61">
    <w:name w:val="Light Grid Accent 6"/>
    <w:basedOn w:val="39"/>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62">
    <w:name w:val="Medium Shading 1"/>
    <w:basedOn w:val="39"/>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63">
    <w:name w:val="Medium Shading 1 Accent 1"/>
    <w:basedOn w:val="39"/>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64">
    <w:name w:val="Medium Shading 1 Accent 2"/>
    <w:basedOn w:val="39"/>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65">
    <w:name w:val="Medium Shading 1 Accent 3"/>
    <w:basedOn w:val="39"/>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66">
    <w:name w:val="Medium Shading 1 Accent 4"/>
    <w:basedOn w:val="39"/>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7">
    <w:name w:val="Medium Shading 1 Accent 5"/>
    <w:basedOn w:val="39"/>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8">
    <w:name w:val="Medium Shading 1 Accent 6"/>
    <w:basedOn w:val="39"/>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9">
    <w:name w:val="Medium Shading 2"/>
    <w:basedOn w:val="39"/>
    <w:qFormat/>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0">
    <w:name w:val="Medium Shading 2 Accent 1"/>
    <w:basedOn w:val="39"/>
    <w:qFormat/>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1">
    <w:name w:val="Medium Shading 2 Accent 2"/>
    <w:basedOn w:val="39"/>
    <w:qFormat/>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2">
    <w:name w:val="Medium Shading 2 Accent 3"/>
    <w:basedOn w:val="39"/>
    <w:qFormat/>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3">
    <w:name w:val="Medium Shading 2 Accent 4"/>
    <w:basedOn w:val="39"/>
    <w:qFormat/>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4">
    <w:name w:val="Medium Shading 2 Accent 5"/>
    <w:basedOn w:val="39"/>
    <w:qFormat/>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5">
    <w:name w:val="Medium Shading 2 Accent 6"/>
    <w:basedOn w:val="39"/>
    <w:qFormat/>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6">
    <w:name w:val="Medium List 1"/>
    <w:basedOn w:val="39"/>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7">
    <w:name w:val="Medium List 1 Accent 1"/>
    <w:basedOn w:val="39"/>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8">
    <w:name w:val="Medium List 1 Accent 2"/>
    <w:basedOn w:val="39"/>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9">
    <w:name w:val="Medium List 1 Accent 3"/>
    <w:basedOn w:val="39"/>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80">
    <w:name w:val="Medium List 1 Accent 4"/>
    <w:basedOn w:val="39"/>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81">
    <w:name w:val="Medium List 1 Accent 5"/>
    <w:basedOn w:val="39"/>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82">
    <w:name w:val="Medium List 1 Accent 6"/>
    <w:basedOn w:val="39"/>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83">
    <w:name w:val="Medium List 2"/>
    <w:basedOn w:val="39"/>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84">
    <w:name w:val="Medium List 2 Accent 1"/>
    <w:basedOn w:val="39"/>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85">
    <w:name w:val="Medium List 2 Accent 2"/>
    <w:basedOn w:val="39"/>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86">
    <w:name w:val="Medium List 2 Accent 3"/>
    <w:basedOn w:val="39"/>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7">
    <w:name w:val="Medium List 2 Accent 4"/>
    <w:basedOn w:val="39"/>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8">
    <w:name w:val="Medium List 2 Accent 5"/>
    <w:basedOn w:val="39"/>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9">
    <w:name w:val="Medium List 2 Accent 6"/>
    <w:basedOn w:val="39"/>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90">
    <w:name w:val="Medium Grid 1"/>
    <w:basedOn w:val="39"/>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91">
    <w:name w:val="Medium Grid 1 Accent 1"/>
    <w:basedOn w:val="39"/>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92">
    <w:name w:val="Medium Grid 1 Accent 2"/>
    <w:basedOn w:val="39"/>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93">
    <w:name w:val="Medium Grid 1 Accent 3"/>
    <w:basedOn w:val="39"/>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94">
    <w:name w:val="Medium Grid 1 Accent 4"/>
    <w:basedOn w:val="39"/>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95">
    <w:name w:val="Medium Grid 1 Accent 5"/>
    <w:basedOn w:val="39"/>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96">
    <w:name w:val="Medium Grid 1 Accent 6"/>
    <w:basedOn w:val="39"/>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7">
    <w:name w:val="Medium Grid 2"/>
    <w:basedOn w:val="39"/>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8">
    <w:name w:val="Medium Grid 2 Accent 1"/>
    <w:basedOn w:val="39"/>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9">
    <w:name w:val="Medium Grid 2 Accent 2"/>
    <w:basedOn w:val="39"/>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100">
    <w:name w:val="Medium Grid 2 Accent 3"/>
    <w:basedOn w:val="39"/>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101">
    <w:name w:val="Medium Grid 2 Accent 4"/>
    <w:basedOn w:val="39"/>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102">
    <w:name w:val="Medium Grid 2 Accent 5"/>
    <w:basedOn w:val="39"/>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103">
    <w:name w:val="Medium Grid 2 Accent 6"/>
    <w:basedOn w:val="39"/>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104">
    <w:name w:val="Medium Grid 3"/>
    <w:basedOn w:val="39"/>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105">
    <w:name w:val="Medium Grid 3 Accent 1"/>
    <w:basedOn w:val="39"/>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106">
    <w:name w:val="Medium Grid 3 Accent 2"/>
    <w:basedOn w:val="39"/>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7">
    <w:name w:val="Medium Grid 3 Accent 3"/>
    <w:basedOn w:val="39"/>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8">
    <w:name w:val="Medium Grid 3 Accent 4"/>
    <w:basedOn w:val="39"/>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9">
    <w:name w:val="Medium Grid 3 Accent 5"/>
    <w:basedOn w:val="39"/>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10">
    <w:name w:val="Medium Grid 3 Accent 6"/>
    <w:basedOn w:val="39"/>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11">
    <w:name w:val="Dark List"/>
    <w:basedOn w:val="39"/>
    <w:qFormat/>
    <w:uiPriority w:val="70"/>
    <w:pPr>
      <w:spacing w:after="0" w:line="240" w:lineRule="auto"/>
    </w:pPr>
    <w:rPr>
      <w:color w:val="FFFFFF" w:themeColor="background1"/>
      <w14:textFill>
        <w14:solidFill>
          <w14:schemeClr w14:val="bg1"/>
        </w14:solidFill>
      </w14:textFill>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12">
    <w:name w:val="Dark List Accent 1"/>
    <w:basedOn w:val="39"/>
    <w:qFormat/>
    <w:uiPriority w:val="70"/>
    <w:pPr>
      <w:spacing w:after="0" w:line="240" w:lineRule="auto"/>
    </w:pPr>
    <w:rPr>
      <w:color w:val="FFFFFF" w:themeColor="background1"/>
      <w14:textFill>
        <w14:solidFill>
          <w14:schemeClr w14:val="bg1"/>
        </w14:solidFill>
      </w14:textFill>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13">
    <w:name w:val="Dark List Accent 2"/>
    <w:basedOn w:val="39"/>
    <w:qFormat/>
    <w:uiPriority w:val="70"/>
    <w:pPr>
      <w:spacing w:after="0" w:line="240" w:lineRule="auto"/>
    </w:pPr>
    <w:rPr>
      <w:color w:val="FFFFFF" w:themeColor="background1"/>
      <w14:textFill>
        <w14:solidFill>
          <w14:schemeClr w14:val="bg1"/>
        </w14:solidFill>
      </w14:textFill>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14">
    <w:name w:val="Dark List Accent 3"/>
    <w:basedOn w:val="39"/>
    <w:qFormat/>
    <w:uiPriority w:val="70"/>
    <w:pPr>
      <w:spacing w:after="0" w:line="240" w:lineRule="auto"/>
    </w:pPr>
    <w:rPr>
      <w:color w:val="FFFFFF" w:themeColor="background1"/>
      <w14:textFill>
        <w14:solidFill>
          <w14:schemeClr w14:val="bg1"/>
        </w14:solidFill>
      </w14:textFill>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5">
    <w:name w:val="Dark List Accent 4"/>
    <w:basedOn w:val="39"/>
    <w:qFormat/>
    <w:uiPriority w:val="70"/>
    <w:pPr>
      <w:spacing w:after="0" w:line="240" w:lineRule="auto"/>
    </w:pPr>
    <w:rPr>
      <w:color w:val="FFFFFF" w:themeColor="background1"/>
      <w14:textFill>
        <w14:solidFill>
          <w14:schemeClr w14:val="bg1"/>
        </w14:solidFill>
      </w14:textFill>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6">
    <w:name w:val="Dark List Accent 5"/>
    <w:basedOn w:val="39"/>
    <w:qFormat/>
    <w:uiPriority w:val="70"/>
    <w:pPr>
      <w:spacing w:after="0" w:line="240" w:lineRule="auto"/>
    </w:pPr>
    <w:rPr>
      <w:color w:val="FFFFFF" w:themeColor="background1"/>
      <w14:textFill>
        <w14:solidFill>
          <w14:schemeClr w14:val="bg1"/>
        </w14:solidFill>
      </w14:textFill>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7">
    <w:name w:val="Dark List Accent 6"/>
    <w:basedOn w:val="39"/>
    <w:qFormat/>
    <w:uiPriority w:val="70"/>
    <w:pPr>
      <w:spacing w:after="0" w:line="240" w:lineRule="auto"/>
    </w:pPr>
    <w:rPr>
      <w:color w:val="FFFFFF" w:themeColor="background1"/>
      <w14:textFill>
        <w14:solidFill>
          <w14:schemeClr w14:val="bg1"/>
        </w14:solidFill>
      </w14:textFill>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8">
    <w:name w:val="Colorful Shading"/>
    <w:basedOn w:val="39"/>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9">
    <w:name w:val="Colorful Shading Accent 1"/>
    <w:basedOn w:val="39"/>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0">
    <w:name w:val="Colorful Shading Accent 2"/>
    <w:basedOn w:val="39"/>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1">
    <w:name w:val="Colorful Shading Accent 3"/>
    <w:basedOn w:val="39"/>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22">
    <w:name w:val="Colorful Shading Accent 4"/>
    <w:basedOn w:val="39"/>
    <w:qFormat/>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3">
    <w:name w:val="Colorful Shading Accent 5"/>
    <w:basedOn w:val="39"/>
    <w:qFormat/>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4">
    <w:name w:val="Colorful Shading Accent 6"/>
    <w:basedOn w:val="39"/>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5">
    <w:name w:val="Colorful List"/>
    <w:basedOn w:val="39"/>
    <w:qFormat/>
    <w:uiPriority w:val="72"/>
    <w:pPr>
      <w:spacing w:after="0" w:line="240" w:lineRule="auto"/>
    </w:pPr>
    <w:rPr>
      <w:color w:val="000000" w:themeColor="text1"/>
      <w14:textFill>
        <w14:solidFill>
          <w14:schemeClr w14:val="tx1"/>
        </w14:solidFill>
      </w14:textFill>
    </w:rPr>
    <w:tblPr>
      <w:tblStyleRowBandSize w:val="1"/>
      <w:tblStyleColBandSize w:val="1"/>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26">
    <w:name w:val="Colorful List Accent 1"/>
    <w:basedOn w:val="39"/>
    <w:qFormat/>
    <w:uiPriority w:val="72"/>
    <w:pPr>
      <w:spacing w:after="0" w:line="240" w:lineRule="auto"/>
    </w:pPr>
    <w:rPr>
      <w:color w:val="000000" w:themeColor="text1"/>
      <w14:textFill>
        <w14:solidFill>
          <w14:schemeClr w14:val="tx1"/>
        </w14:solidFill>
      </w14:textFill>
    </w:rPr>
    <w:tblPr>
      <w:tblStyleRowBandSize w:val="1"/>
      <w:tblStyleColBandSize w:val="1"/>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7">
    <w:name w:val="Colorful List Accent 2"/>
    <w:basedOn w:val="39"/>
    <w:qFormat/>
    <w:uiPriority w:val="72"/>
    <w:pPr>
      <w:spacing w:after="0" w:line="240" w:lineRule="auto"/>
    </w:pPr>
    <w:rPr>
      <w:color w:val="000000" w:themeColor="text1"/>
      <w14:textFill>
        <w14:solidFill>
          <w14:schemeClr w14:val="tx1"/>
        </w14:solidFill>
      </w14:textFill>
    </w:rPr>
    <w:tblPr>
      <w:tblStyleRowBandSize w:val="1"/>
      <w:tblStyleColBandSize w:val="1"/>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8">
    <w:name w:val="Colorful List Accent 3"/>
    <w:basedOn w:val="39"/>
    <w:qFormat/>
    <w:uiPriority w:val="72"/>
    <w:pPr>
      <w:spacing w:after="0" w:line="240" w:lineRule="auto"/>
    </w:pPr>
    <w:rPr>
      <w:color w:val="000000" w:themeColor="text1"/>
      <w14:textFill>
        <w14:solidFill>
          <w14:schemeClr w14:val="tx1"/>
        </w14:solidFill>
      </w14:textFill>
    </w:rPr>
    <w:tblPr>
      <w:tblStyleRowBandSize w:val="1"/>
      <w:tblStyleColBandSize w:val="1"/>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9">
    <w:name w:val="Colorful List Accent 4"/>
    <w:basedOn w:val="39"/>
    <w:qFormat/>
    <w:uiPriority w:val="72"/>
    <w:pPr>
      <w:spacing w:after="0" w:line="240" w:lineRule="auto"/>
    </w:pPr>
    <w:rPr>
      <w:color w:val="000000" w:themeColor="text1"/>
      <w14:textFill>
        <w14:solidFill>
          <w14:schemeClr w14:val="tx1"/>
        </w14:solidFill>
      </w14:textFill>
    </w:rPr>
    <w:tblPr>
      <w:tblStyleRowBandSize w:val="1"/>
      <w:tblStyleColBandSize w:val="1"/>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30">
    <w:name w:val="Colorful List Accent 5"/>
    <w:basedOn w:val="39"/>
    <w:qFormat/>
    <w:uiPriority w:val="72"/>
    <w:pPr>
      <w:spacing w:after="0" w:line="240" w:lineRule="auto"/>
    </w:pPr>
    <w:rPr>
      <w:color w:val="000000" w:themeColor="text1"/>
      <w14:textFill>
        <w14:solidFill>
          <w14:schemeClr w14:val="tx1"/>
        </w14:solidFill>
      </w14:textFill>
    </w:rPr>
    <w:tblPr>
      <w:tblStyleRowBandSize w:val="1"/>
      <w:tblStyleColBandSize w:val="1"/>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31">
    <w:name w:val="Colorful List Accent 6"/>
    <w:basedOn w:val="39"/>
    <w:qFormat/>
    <w:uiPriority w:val="72"/>
    <w:pPr>
      <w:spacing w:after="0" w:line="240" w:lineRule="auto"/>
    </w:pPr>
    <w:rPr>
      <w:color w:val="000000" w:themeColor="text1"/>
      <w14:textFill>
        <w14:solidFill>
          <w14:schemeClr w14:val="tx1"/>
        </w14:solidFill>
      </w14:textFill>
    </w:rPr>
    <w:tblPr>
      <w:tblStyleRowBandSize w:val="1"/>
      <w:tblStyleColBandSize w:val="1"/>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32">
    <w:name w:val="Colorful Grid"/>
    <w:basedOn w:val="39"/>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33">
    <w:name w:val="Colorful Grid Accent 1"/>
    <w:basedOn w:val="39"/>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34">
    <w:name w:val="Colorful Grid Accent 2"/>
    <w:basedOn w:val="39"/>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5">
    <w:name w:val="Colorful Grid Accent 3"/>
    <w:basedOn w:val="39"/>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36">
    <w:name w:val="Colorful Grid Accent 4"/>
    <w:basedOn w:val="39"/>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7">
    <w:name w:val="Colorful Grid Accent 5"/>
    <w:basedOn w:val="39"/>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8">
    <w:name w:val="Colorful Grid Accent 6"/>
    <w:basedOn w:val="39"/>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40">
    <w:name w:val="Strong"/>
    <w:basedOn w:val="139"/>
    <w:qFormat/>
    <w:uiPriority w:val="22"/>
    <w:rPr>
      <w:b/>
      <w:bCs/>
    </w:rPr>
  </w:style>
  <w:style w:type="character" w:styleId="141">
    <w:name w:val="Emphasis"/>
    <w:basedOn w:val="139"/>
    <w:qFormat/>
    <w:uiPriority w:val="20"/>
    <w:rPr>
      <w:i/>
      <w:iCs/>
    </w:rPr>
  </w:style>
  <w:style w:type="character" w:styleId="142">
    <w:name w:val="Hyperlink"/>
    <w:basedOn w:val="139"/>
    <w:unhideWhenUsed/>
    <w:qFormat/>
    <w:uiPriority w:val="99"/>
    <w:rPr>
      <w:color w:val="0000FF" w:themeColor="hyperlink"/>
      <w:u w:val="single"/>
      <w14:textFill>
        <w14:solidFill>
          <w14:schemeClr w14:val="hlink"/>
        </w14:solidFill>
      </w14:textFill>
    </w:rPr>
  </w:style>
  <w:style w:type="character" w:styleId="143">
    <w:name w:val="annotation reference"/>
    <w:basedOn w:val="139"/>
    <w:semiHidden/>
    <w:unhideWhenUsed/>
    <w:qFormat/>
    <w:uiPriority w:val="99"/>
    <w:rPr>
      <w:sz w:val="21"/>
      <w:szCs w:val="21"/>
    </w:rPr>
  </w:style>
  <w:style w:type="character" w:customStyle="1" w:styleId="144">
    <w:name w:val="页眉 字符"/>
    <w:basedOn w:val="139"/>
    <w:link w:val="27"/>
    <w:qFormat/>
    <w:uiPriority w:val="99"/>
  </w:style>
  <w:style w:type="character" w:customStyle="1" w:styleId="145">
    <w:name w:val="页脚 字符"/>
    <w:basedOn w:val="139"/>
    <w:link w:val="26"/>
    <w:qFormat/>
    <w:uiPriority w:val="99"/>
  </w:style>
  <w:style w:type="paragraph" w:styleId="146">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47">
    <w:name w:val="标题 1 字符"/>
    <w:basedOn w:val="139"/>
    <w:link w:val="3"/>
    <w:qFormat/>
    <w:uiPriority w:val="9"/>
    <w:rPr>
      <w:rFonts w:asciiTheme="majorHAnsi" w:hAnsiTheme="majorHAnsi" w:eastAsiaTheme="majorEastAsia" w:cstheme="majorBidi"/>
      <w:b/>
      <w:bCs/>
      <w:color w:val="376092" w:themeColor="accent1" w:themeShade="BF"/>
      <w:sz w:val="28"/>
      <w:szCs w:val="28"/>
    </w:rPr>
  </w:style>
  <w:style w:type="character" w:customStyle="1" w:styleId="148">
    <w:name w:val="标题 2 字符"/>
    <w:basedOn w:val="139"/>
    <w:link w:val="4"/>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9">
    <w:name w:val="标题 3 字符"/>
    <w:basedOn w:val="139"/>
    <w:link w:val="5"/>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50">
    <w:name w:val="标题 字符"/>
    <w:basedOn w:val="139"/>
    <w:link w:val="37"/>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51">
    <w:name w:val="副标题 字符"/>
    <w:basedOn w:val="139"/>
    <w:link w:val="29"/>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52">
    <w:name w:val="List Paragraph"/>
    <w:basedOn w:val="1"/>
    <w:qFormat/>
    <w:uiPriority w:val="34"/>
    <w:pPr>
      <w:ind w:left="720"/>
      <w:contextualSpacing/>
    </w:pPr>
  </w:style>
  <w:style w:type="character" w:customStyle="1" w:styleId="153">
    <w:name w:val="正文文本 字符"/>
    <w:basedOn w:val="139"/>
    <w:link w:val="20"/>
    <w:qFormat/>
    <w:uiPriority w:val="99"/>
  </w:style>
  <w:style w:type="character" w:customStyle="1" w:styleId="154">
    <w:name w:val="正文文本 2 字符"/>
    <w:basedOn w:val="139"/>
    <w:link w:val="32"/>
    <w:qFormat/>
    <w:uiPriority w:val="99"/>
  </w:style>
  <w:style w:type="character" w:customStyle="1" w:styleId="155">
    <w:name w:val="正文文本 3 字符"/>
    <w:basedOn w:val="139"/>
    <w:link w:val="18"/>
    <w:qFormat/>
    <w:uiPriority w:val="99"/>
    <w:rPr>
      <w:sz w:val="16"/>
      <w:szCs w:val="16"/>
    </w:rPr>
  </w:style>
  <w:style w:type="character" w:customStyle="1" w:styleId="156">
    <w:name w:val="宏文本 字符"/>
    <w:basedOn w:val="139"/>
    <w:link w:val="2"/>
    <w:qFormat/>
    <w:uiPriority w:val="99"/>
    <w:rPr>
      <w:rFonts w:ascii="Courier" w:hAnsi="Courier"/>
      <w:sz w:val="20"/>
      <w:szCs w:val="20"/>
    </w:rPr>
  </w:style>
  <w:style w:type="paragraph" w:styleId="157">
    <w:name w:val="Quote"/>
    <w:basedOn w:val="1"/>
    <w:next w:val="1"/>
    <w:link w:val="158"/>
    <w:qFormat/>
    <w:uiPriority w:val="29"/>
    <w:rPr>
      <w:i/>
      <w:iCs/>
      <w:color w:val="000000" w:themeColor="text1"/>
      <w14:textFill>
        <w14:solidFill>
          <w14:schemeClr w14:val="tx1"/>
        </w14:solidFill>
      </w14:textFill>
    </w:rPr>
  </w:style>
  <w:style w:type="character" w:customStyle="1" w:styleId="158">
    <w:name w:val="引用 字符"/>
    <w:basedOn w:val="139"/>
    <w:link w:val="157"/>
    <w:qFormat/>
    <w:uiPriority w:val="29"/>
    <w:rPr>
      <w:i/>
      <w:iCs/>
      <w:color w:val="000000" w:themeColor="text1"/>
      <w14:textFill>
        <w14:solidFill>
          <w14:schemeClr w14:val="tx1"/>
        </w14:solidFill>
      </w14:textFill>
    </w:rPr>
  </w:style>
  <w:style w:type="character" w:customStyle="1" w:styleId="159">
    <w:name w:val="标题 4 字符"/>
    <w:basedOn w:val="139"/>
    <w:link w:val="6"/>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60">
    <w:name w:val="标题 5 字符"/>
    <w:basedOn w:val="139"/>
    <w:link w:val="7"/>
    <w:semiHidden/>
    <w:qFormat/>
    <w:uiPriority w:val="9"/>
    <w:rPr>
      <w:rFonts w:asciiTheme="majorHAnsi" w:hAnsiTheme="majorHAnsi" w:eastAsiaTheme="majorEastAsia" w:cstheme="majorBidi"/>
      <w:color w:val="254061" w:themeColor="accent1" w:themeShade="80"/>
    </w:rPr>
  </w:style>
  <w:style w:type="character" w:customStyle="1" w:styleId="161">
    <w:name w:val="标题 6 字符"/>
    <w:basedOn w:val="139"/>
    <w:link w:val="8"/>
    <w:semiHidden/>
    <w:qFormat/>
    <w:uiPriority w:val="9"/>
    <w:rPr>
      <w:rFonts w:asciiTheme="majorHAnsi" w:hAnsiTheme="majorHAnsi" w:eastAsiaTheme="majorEastAsia" w:cstheme="majorBidi"/>
      <w:i/>
      <w:iCs/>
      <w:color w:val="254061" w:themeColor="accent1" w:themeShade="80"/>
    </w:rPr>
  </w:style>
  <w:style w:type="character" w:customStyle="1" w:styleId="162">
    <w:name w:val="标题 7 字符"/>
    <w:basedOn w:val="139"/>
    <w:link w:val="9"/>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63">
    <w:name w:val="标题 8 字符"/>
    <w:basedOn w:val="139"/>
    <w:link w:val="10"/>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64">
    <w:name w:val="标题 9 字符"/>
    <w:basedOn w:val="139"/>
    <w:link w:val="11"/>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65">
    <w:name w:val="Intense Quote"/>
    <w:basedOn w:val="1"/>
    <w:next w:val="1"/>
    <w:link w:val="166"/>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66">
    <w:name w:val="明显引用 字符"/>
    <w:basedOn w:val="139"/>
    <w:link w:val="165"/>
    <w:qFormat/>
    <w:uiPriority w:val="30"/>
    <w:rPr>
      <w:b/>
      <w:bCs/>
      <w:i/>
      <w:iCs/>
      <w:color w:val="4F81BD" w:themeColor="accent1"/>
      <w14:textFill>
        <w14:solidFill>
          <w14:schemeClr w14:val="accent1"/>
        </w14:solidFill>
      </w14:textFill>
    </w:rPr>
  </w:style>
  <w:style w:type="character" w:customStyle="1" w:styleId="167">
    <w:name w:val="Subtle Emphasis"/>
    <w:basedOn w:val="139"/>
    <w:qFormat/>
    <w:uiPriority w:val="19"/>
    <w:rPr>
      <w:i/>
      <w:iCs/>
      <w:color w:val="808080" w:themeColor="text1" w:themeTint="80"/>
      <w14:textFill>
        <w14:solidFill>
          <w14:schemeClr w14:val="tx1">
            <w14:lumMod w14:val="50000"/>
            <w14:lumOff w14:val="50000"/>
          </w14:schemeClr>
        </w14:solidFill>
      </w14:textFill>
    </w:rPr>
  </w:style>
  <w:style w:type="character" w:customStyle="1" w:styleId="168">
    <w:name w:val="Intense Emphasis"/>
    <w:basedOn w:val="139"/>
    <w:qFormat/>
    <w:uiPriority w:val="21"/>
    <w:rPr>
      <w:b/>
      <w:bCs/>
      <w:i/>
      <w:iCs/>
      <w:color w:val="4F81BD" w:themeColor="accent1"/>
      <w14:textFill>
        <w14:solidFill>
          <w14:schemeClr w14:val="accent1"/>
        </w14:solidFill>
      </w14:textFill>
    </w:rPr>
  </w:style>
  <w:style w:type="character" w:customStyle="1" w:styleId="169">
    <w:name w:val="Subtle Reference"/>
    <w:basedOn w:val="139"/>
    <w:qFormat/>
    <w:uiPriority w:val="31"/>
    <w:rPr>
      <w:smallCaps/>
      <w:color w:val="C0504D" w:themeColor="accent2"/>
      <w:u w:val="single"/>
      <w14:textFill>
        <w14:solidFill>
          <w14:schemeClr w14:val="accent2"/>
        </w14:solidFill>
      </w14:textFill>
    </w:rPr>
  </w:style>
  <w:style w:type="character" w:customStyle="1" w:styleId="170">
    <w:name w:val="Intense Reference"/>
    <w:basedOn w:val="139"/>
    <w:qFormat/>
    <w:uiPriority w:val="32"/>
    <w:rPr>
      <w:b/>
      <w:bCs/>
      <w:smallCaps/>
      <w:color w:val="C0504D" w:themeColor="accent2"/>
      <w:spacing w:val="5"/>
      <w:u w:val="single"/>
      <w14:textFill>
        <w14:solidFill>
          <w14:schemeClr w14:val="accent2"/>
        </w14:solidFill>
      </w14:textFill>
    </w:rPr>
  </w:style>
  <w:style w:type="character" w:customStyle="1" w:styleId="171">
    <w:name w:val="Book Title"/>
    <w:basedOn w:val="139"/>
    <w:qFormat/>
    <w:uiPriority w:val="33"/>
    <w:rPr>
      <w:b/>
      <w:bCs/>
      <w:smallCaps/>
      <w:spacing w:val="5"/>
    </w:rPr>
  </w:style>
  <w:style w:type="paragraph" w:customStyle="1" w:styleId="172">
    <w:name w:val="TOC Heading"/>
    <w:basedOn w:val="3"/>
    <w:next w:val="1"/>
    <w:semiHidden/>
    <w:unhideWhenUsed/>
    <w:qFormat/>
    <w:uiPriority w:val="39"/>
    <w:pPr>
      <w:outlineLvl w:val="9"/>
    </w:pPr>
  </w:style>
  <w:style w:type="character" w:customStyle="1" w:styleId="173">
    <w:name w:val="批注文字 字符"/>
    <w:basedOn w:val="139"/>
    <w:link w:val="17"/>
    <w:semiHidden/>
    <w:qFormat/>
    <w:uiPriority w:val="99"/>
    <w:rPr>
      <w:rFonts w:ascii="Arial" w:hAnsi="Arial" w:eastAsia="宋体"/>
      <w:sz w:val="24"/>
    </w:rPr>
  </w:style>
  <w:style w:type="character" w:customStyle="1" w:styleId="174">
    <w:name w:val="批注主题 字符"/>
    <w:basedOn w:val="173"/>
    <w:link w:val="38"/>
    <w:semiHidden/>
    <w:qFormat/>
    <w:uiPriority w:val="99"/>
    <w:rPr>
      <w:rFonts w:ascii="Arial" w:hAnsi="Arial" w:eastAsia="宋体"/>
      <w:b/>
      <w:bCs/>
      <w:sz w:val="24"/>
    </w:rPr>
  </w:style>
  <w:style w:type="character" w:customStyle="1" w:styleId="175">
    <w:name w:val="批注框文本 字符"/>
    <w:basedOn w:val="139"/>
    <w:link w:val="25"/>
    <w:semiHidden/>
    <w:qFormat/>
    <w:uiPriority w:val="99"/>
    <w:rPr>
      <w:rFonts w:ascii="Arial" w:hAnsi="Arial" w:eastAsia="宋体"/>
      <w:sz w:val="18"/>
      <w:szCs w:val="18"/>
    </w:rPr>
  </w:style>
  <w:style w:type="paragraph" w:customStyle="1" w:styleId="176">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77">
    <w:name w:val="列出段落1"/>
    <w:basedOn w:val="1"/>
    <w:qFormat/>
    <w:uiPriority w:val="34"/>
    <w:pPr>
      <w:numPr>
        <w:ilvl w:val="0"/>
        <w:numId w:val="7"/>
      </w:numPr>
      <w:spacing w:line="300" w:lineRule="auto"/>
      <w:jc w:val="left"/>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docProps/app.xml><?xml version="1.0" encoding="utf-8"?>
<Properties xmlns="http://schemas.openxmlformats.org/officeDocument/2006/extended-properties" xmlns:vt="http://schemas.openxmlformats.org/officeDocument/2006/docPropsVTypes">
  <Template>Normal.dotm</Template>
  <Pages>11</Pages>
  <Words>6551</Words>
  <Characters>6787</Characters>
  <Lines>60</Lines>
  <Paragraphs>17</Paragraphs>
  <TotalTime>30</TotalTime>
  <ScaleCrop>false</ScaleCrop>
  <LinksUpToDate>false</LinksUpToDate>
  <CharactersWithSpaces>7158</CharactersWithSpaces>
  <Application>WPS Office_11.8.2.11717_F1E327BC-269C-435d-A152-05C5408002CA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2026-09-04T00:26:00Z</dcterms:created>
  <dc:creator>python-docx</dc:creator>
  <dc:description>generated by python-docx</dc:description>
  <cp:lastModifiedBy>user</cp:lastModifiedBy>
  <dcterms:modified xsi:type="dcterms:W3CDTF">2026-09-07T15:45:09Z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eyJoZGlkIjoiNDQzMDdlZTExNTRhZmYwZmJlMThlYTRlNDY4NzYyNjMiLCJ1c2VySWQiOiIxMjQ3NTY4MjIyIn0=</vt:lpwstr>
  </property>
  <property fmtid="{D5CDD505-2E9C-101B-9397-08002B2CF9AE}" pid="3" name="KSOProductBuildVer">
    <vt:lpwstr>2052-11.8.2.11717</vt:lpwstr>
  </property>
  <property fmtid="{D5CDD505-2E9C-101B-9397-08002B2CF9AE}" pid="4" name="ICV">
    <vt:lpwstr>CD08D3DCCD2CD80F40E6986A6B3A0D23</vt:lpwstr>
  </property>
</Properties>
</file>